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13" w:rsidRPr="00A61813" w:rsidRDefault="00A61813" w:rsidP="00A61813">
      <w:pPr>
        <w:rPr>
          <w:rFonts w:ascii="Arial" w:eastAsia="Times New Roman" w:hAnsi="Arial" w:cs="Times New Roman"/>
          <w:b/>
          <w:sz w:val="28"/>
          <w:szCs w:val="28"/>
          <w:lang w:eastAsia="en-GB"/>
        </w:rPr>
      </w:pPr>
      <w:r w:rsidRPr="00A61813">
        <w:rPr>
          <w:rFonts w:ascii="Arial" w:eastAsia="Times New Roman" w:hAnsi="Arial" w:cs="Times New Roman"/>
          <w:b/>
          <w:sz w:val="28"/>
          <w:szCs w:val="28"/>
          <w:lang w:eastAsia="en-GB"/>
        </w:rPr>
        <w:t>NORTH EAST LOCAL ENTERPRISE PARTNERSHIP BOARD</w:t>
      </w:r>
    </w:p>
    <w:p w:rsidR="00A61813" w:rsidRPr="00A61813" w:rsidRDefault="00A61813" w:rsidP="00A61813">
      <w:pPr>
        <w:rPr>
          <w:rFonts w:ascii="Arial" w:eastAsia="Times New Roman" w:hAnsi="Arial" w:cs="Times New Roman"/>
          <w:b/>
          <w:sz w:val="24"/>
          <w:szCs w:val="28"/>
          <w:lang w:eastAsia="en-GB"/>
        </w:rPr>
      </w:pPr>
    </w:p>
    <w:p w:rsidR="00A61813" w:rsidRPr="00A61813" w:rsidRDefault="00993759" w:rsidP="00A61813">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t>Thur</w:t>
      </w:r>
      <w:r w:rsidR="00BC0EB6">
        <w:rPr>
          <w:rFonts w:ascii="Arial" w:eastAsia="Times New Roman" w:hAnsi="Arial" w:cs="Times New Roman"/>
          <w:b/>
          <w:sz w:val="28"/>
          <w:szCs w:val="28"/>
          <w:lang w:eastAsia="en-GB"/>
        </w:rPr>
        <w:t>s</w:t>
      </w:r>
      <w:r w:rsidR="00A61813" w:rsidRPr="00A61813">
        <w:rPr>
          <w:rFonts w:ascii="Arial" w:eastAsia="Times New Roman" w:hAnsi="Arial" w:cs="Times New Roman"/>
          <w:b/>
          <w:sz w:val="28"/>
          <w:szCs w:val="28"/>
          <w:lang w:eastAsia="en-GB"/>
        </w:rPr>
        <w:t xml:space="preserve">day </w:t>
      </w:r>
      <w:r>
        <w:rPr>
          <w:rFonts w:ascii="Arial" w:eastAsia="Times New Roman" w:hAnsi="Arial" w:cs="Times New Roman"/>
          <w:b/>
          <w:sz w:val="28"/>
          <w:szCs w:val="28"/>
          <w:lang w:eastAsia="en-GB"/>
        </w:rPr>
        <w:t>26 May</w:t>
      </w:r>
      <w:r w:rsidR="00056E91">
        <w:rPr>
          <w:rFonts w:ascii="Arial" w:eastAsia="Times New Roman" w:hAnsi="Arial" w:cs="Times New Roman"/>
          <w:b/>
          <w:sz w:val="28"/>
          <w:szCs w:val="28"/>
          <w:lang w:eastAsia="en-GB"/>
        </w:rPr>
        <w:t xml:space="preserve"> 2016</w:t>
      </w:r>
      <w:r w:rsidR="00A61813" w:rsidRPr="00A61813">
        <w:rPr>
          <w:rFonts w:ascii="Arial" w:eastAsia="Times New Roman" w:hAnsi="Arial" w:cs="Times New Roman"/>
          <w:b/>
          <w:sz w:val="28"/>
          <w:szCs w:val="28"/>
          <w:lang w:eastAsia="en-GB"/>
        </w:rPr>
        <w:t xml:space="preserve"> at 5.00pm</w:t>
      </w: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 xml:space="preserve">Held at </w:t>
      </w:r>
      <w:r w:rsidR="00993759">
        <w:rPr>
          <w:rFonts w:ascii="Arial" w:eastAsia="Times New Roman" w:hAnsi="Arial" w:cs="Times New Roman"/>
          <w:b/>
          <w:sz w:val="24"/>
          <w:szCs w:val="28"/>
          <w:lang w:eastAsia="en-GB"/>
        </w:rPr>
        <w:t>BT, 1 Harton Quay, South Shields</w:t>
      </w:r>
    </w:p>
    <w:p w:rsidR="00A61813" w:rsidRPr="00A61813" w:rsidRDefault="00A61813" w:rsidP="00A61813">
      <w:pPr>
        <w:rPr>
          <w:rFonts w:ascii="Arial" w:eastAsia="Times New Roman" w:hAnsi="Arial" w:cs="Times New Roman"/>
          <w:b/>
          <w:sz w:val="24"/>
          <w:szCs w:val="28"/>
          <w:lang w:eastAsia="en-GB"/>
        </w:rPr>
      </w:pP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MINUTES</w:t>
      </w:r>
    </w:p>
    <w:p w:rsidR="00A61813" w:rsidRPr="00A61813" w:rsidRDefault="00A61813" w:rsidP="00A61813">
      <w:pPr>
        <w:rPr>
          <w:rFonts w:ascii="Arial" w:eastAsia="Times New Roman" w:hAnsi="Arial" w:cs="Times New Roman"/>
          <w:b/>
          <w:sz w:val="24"/>
          <w:szCs w:val="28"/>
          <w:lang w:eastAsia="en-GB"/>
        </w:rPr>
      </w:pP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Present:</w:t>
      </w:r>
      <w:r w:rsidRPr="00A61813">
        <w:rPr>
          <w:rFonts w:ascii="Arial" w:eastAsia="Times New Roman" w:hAnsi="Arial" w:cs="Times New Roman"/>
          <w:b/>
          <w:sz w:val="24"/>
          <w:szCs w:val="28"/>
          <w:lang w:eastAsia="en-GB"/>
        </w:rPr>
        <w:tab/>
      </w:r>
    </w:p>
    <w:p w:rsidR="00A61813" w:rsidRPr="00A61813" w:rsidRDefault="00A61813" w:rsidP="00A61813">
      <w:pPr>
        <w:rPr>
          <w:rFonts w:ascii="Arial" w:eastAsia="Times New Roman" w:hAnsi="Arial" w:cs="Times New Roman"/>
          <w:b/>
          <w:sz w:val="24"/>
          <w:szCs w:val="28"/>
          <w:lang w:eastAsia="en-GB"/>
        </w:rPr>
      </w:pPr>
    </w:p>
    <w:tbl>
      <w:tblPr>
        <w:tblW w:w="0" w:type="auto"/>
        <w:tblLook w:val="01E0" w:firstRow="1" w:lastRow="1" w:firstColumn="1" w:lastColumn="1" w:noHBand="0" w:noVBand="0"/>
      </w:tblPr>
      <w:tblGrid>
        <w:gridCol w:w="4621"/>
        <w:gridCol w:w="4621"/>
      </w:tblGrid>
      <w:tr w:rsidR="00A61813" w:rsidRPr="00A61813" w:rsidTr="007E794C">
        <w:trPr>
          <w:trHeight w:val="288"/>
        </w:trPr>
        <w:tc>
          <w:tcPr>
            <w:tcW w:w="4621" w:type="dxa"/>
            <w:shd w:val="clear" w:color="auto" w:fill="auto"/>
          </w:tcPr>
          <w:p w:rsidR="00A61813"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Hodgson</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Chair, NELEP</w:t>
            </w: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Gillian Hall</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Watson Burton</w:t>
            </w:r>
          </w:p>
        </w:tc>
      </w:tr>
      <w:tr w:rsidR="00A61813" w:rsidRPr="00A61813" w:rsidTr="007E794C">
        <w:trPr>
          <w:trHeight w:val="288"/>
        </w:trPr>
        <w:tc>
          <w:tcPr>
            <w:tcW w:w="4621" w:type="dxa"/>
            <w:shd w:val="clear" w:color="auto" w:fill="auto"/>
          </w:tcPr>
          <w:p w:rsidR="00A61813" w:rsidRPr="00A61813" w:rsidRDefault="00A61813" w:rsidP="007E794C">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David Land</w:t>
            </w:r>
          </w:p>
        </w:tc>
        <w:tc>
          <w:tcPr>
            <w:tcW w:w="4621" w:type="dxa"/>
            <w:shd w:val="clear" w:color="auto" w:fill="auto"/>
          </w:tcPr>
          <w:p w:rsidR="00A61813" w:rsidRPr="00A61813" w:rsidRDefault="00A61813" w:rsidP="007E794C">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Drive 2 Business</w:t>
            </w:r>
          </w:p>
        </w:tc>
      </w:tr>
      <w:tr w:rsidR="00E04867" w:rsidRPr="00A61813" w:rsidTr="007E794C">
        <w:trPr>
          <w:trHeight w:val="288"/>
        </w:trPr>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Moffat</w:t>
            </w:r>
          </w:p>
        </w:tc>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Port of Tyne</w:t>
            </w:r>
          </w:p>
        </w:tc>
      </w:tr>
      <w:tr w:rsidR="00E04867" w:rsidRPr="00A61813" w:rsidTr="007E794C">
        <w:trPr>
          <w:trHeight w:val="288"/>
        </w:trPr>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Mark Thompson</w:t>
            </w:r>
          </w:p>
        </w:tc>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Ryder Architecture</w:t>
            </w:r>
          </w:p>
        </w:tc>
      </w:tr>
      <w:tr w:rsidR="00E04867" w:rsidRPr="00A61813" w:rsidTr="007E794C">
        <w:trPr>
          <w:trHeight w:val="288"/>
        </w:trPr>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Paul Varley</w:t>
            </w:r>
          </w:p>
        </w:tc>
        <w:tc>
          <w:tcPr>
            <w:tcW w:w="4621" w:type="dxa"/>
            <w:shd w:val="clear" w:color="auto" w:fill="auto"/>
          </w:tcPr>
          <w:p w:rsidR="00E04867" w:rsidRDefault="00E04867" w:rsidP="007E794C">
            <w:pPr>
              <w:rPr>
                <w:rFonts w:ascii="Arial" w:eastAsia="Times New Roman" w:hAnsi="Arial" w:cs="Times New Roman"/>
                <w:sz w:val="24"/>
                <w:szCs w:val="24"/>
                <w:lang w:eastAsia="en-GB"/>
              </w:rPr>
            </w:pPr>
            <w:r>
              <w:rPr>
                <w:rFonts w:ascii="Arial" w:eastAsia="Times New Roman" w:hAnsi="Arial" w:cs="Times New Roman"/>
                <w:sz w:val="24"/>
                <w:szCs w:val="24"/>
                <w:lang w:eastAsia="en-GB"/>
              </w:rPr>
              <w:t>Oddballs</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Grant Davey</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Northumberland County Council</w:t>
            </w:r>
          </w:p>
        </w:tc>
      </w:tr>
      <w:tr w:rsidR="00BC0EB6" w:rsidRPr="00A61813" w:rsidTr="007E794C">
        <w:trPr>
          <w:trHeight w:val="288"/>
        </w:trPr>
        <w:tc>
          <w:tcPr>
            <w:tcW w:w="4621" w:type="dxa"/>
            <w:shd w:val="clear" w:color="auto" w:fill="auto"/>
          </w:tcPr>
          <w:p w:rsidR="00BC0EB6" w:rsidRPr="00A61813" w:rsidRDefault="00BC0EB6" w:rsidP="00CB0DC4">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Nick Forbes</w:t>
            </w:r>
          </w:p>
        </w:tc>
        <w:tc>
          <w:tcPr>
            <w:tcW w:w="4621" w:type="dxa"/>
            <w:shd w:val="clear" w:color="auto" w:fill="auto"/>
          </w:tcPr>
          <w:p w:rsidR="00BC0EB6" w:rsidRPr="00A61813" w:rsidRDefault="00BC0EB6" w:rsidP="00CB0DC4">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Newcastle City Council</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Martin Gannon</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Gateshead Council</w:t>
            </w:r>
          </w:p>
        </w:tc>
      </w:tr>
      <w:tr w:rsidR="00BC0EB6" w:rsidRPr="00A61813" w:rsidTr="007E794C">
        <w:trPr>
          <w:trHeight w:val="288"/>
        </w:trPr>
        <w:tc>
          <w:tcPr>
            <w:tcW w:w="4621" w:type="dxa"/>
            <w:shd w:val="clear" w:color="auto" w:fill="auto"/>
          </w:tcPr>
          <w:p w:rsidR="00BC0EB6" w:rsidRPr="00A61813" w:rsidRDefault="00BC0EB6" w:rsidP="00CB0DC4">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Simon Henig</w:t>
            </w:r>
          </w:p>
        </w:tc>
        <w:tc>
          <w:tcPr>
            <w:tcW w:w="4621" w:type="dxa"/>
            <w:shd w:val="clear" w:color="auto" w:fill="auto"/>
          </w:tcPr>
          <w:p w:rsidR="00BC0EB6" w:rsidRPr="00A61813" w:rsidRDefault="00E04867" w:rsidP="00CB0DC4">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Durham Count</w:t>
            </w:r>
            <w:r w:rsidR="00BC0EB6" w:rsidRPr="00A61813">
              <w:rPr>
                <w:rFonts w:ascii="Arial" w:eastAsia="Times New Roman" w:hAnsi="Arial" w:cs="Times New Roman"/>
                <w:sz w:val="24"/>
                <w:szCs w:val="24"/>
                <w:lang w:eastAsia="en-GB"/>
              </w:rPr>
              <w:t>y Council</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Iain Malcolm</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South Tyneside Council</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Mayor Norma Redfearn</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North Tyneside Council</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Professor Andrew Wathey</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Northumbria </w:t>
            </w:r>
            <w:r w:rsidRPr="00A61813">
              <w:rPr>
                <w:rFonts w:ascii="Arial" w:eastAsia="Times New Roman" w:hAnsi="Arial" w:cs="Times New Roman"/>
                <w:sz w:val="24"/>
                <w:szCs w:val="24"/>
                <w:lang w:eastAsia="en-GB"/>
              </w:rPr>
              <w:t>U</w:t>
            </w:r>
            <w:r>
              <w:rPr>
                <w:rFonts w:ascii="Arial" w:eastAsia="Times New Roman" w:hAnsi="Arial" w:cs="Times New Roman"/>
                <w:sz w:val="24"/>
                <w:szCs w:val="24"/>
                <w:lang w:eastAsia="en-GB"/>
              </w:rPr>
              <w:t>n</w:t>
            </w:r>
            <w:r w:rsidRPr="00A61813">
              <w:rPr>
                <w:rFonts w:ascii="Arial" w:eastAsia="Times New Roman" w:hAnsi="Arial" w:cs="Times New Roman"/>
                <w:sz w:val="24"/>
                <w:szCs w:val="24"/>
                <w:lang w:eastAsia="en-GB"/>
              </w:rPr>
              <w:t>iversity</w:t>
            </w: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In Attendance:</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Helen Golightly</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LEP Chief Operating Officer</w:t>
            </w:r>
          </w:p>
        </w:tc>
      </w:tr>
      <w:tr w:rsidR="00A61813" w:rsidRPr="00A61813" w:rsidTr="007E794C">
        <w:trPr>
          <w:trHeight w:val="288"/>
        </w:trPr>
        <w:tc>
          <w:tcPr>
            <w:tcW w:w="4621" w:type="dxa"/>
            <w:shd w:val="clear" w:color="auto" w:fill="auto"/>
          </w:tcPr>
          <w:p w:rsidR="00A61813" w:rsidRPr="00A61813" w:rsidRDefault="00A61813" w:rsidP="00A61813">
            <w:pPr>
              <w:tabs>
                <w:tab w:val="left" w:pos="2835"/>
              </w:tabs>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Adam Wilkinson</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 xml:space="preserve">Interim Head of Paid Service, NECA </w:t>
            </w:r>
          </w:p>
        </w:tc>
      </w:tr>
      <w:tr w:rsidR="00E04867" w:rsidRPr="00A61813" w:rsidTr="007E794C">
        <w:trPr>
          <w:trHeight w:val="288"/>
        </w:trPr>
        <w:tc>
          <w:tcPr>
            <w:tcW w:w="4621" w:type="dxa"/>
            <w:shd w:val="clear" w:color="auto" w:fill="auto"/>
          </w:tcPr>
          <w:p w:rsidR="00E04867" w:rsidRPr="00A61813" w:rsidRDefault="00E04867" w:rsidP="00A61813">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Paul Woods</w:t>
            </w:r>
          </w:p>
        </w:tc>
        <w:tc>
          <w:tcPr>
            <w:tcW w:w="4621" w:type="dxa"/>
            <w:shd w:val="clear" w:color="auto" w:fill="auto"/>
          </w:tcPr>
          <w:p w:rsidR="00E04867"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Chief Financial Officer, NECA</w:t>
            </w:r>
          </w:p>
        </w:tc>
      </w:tr>
      <w:tr w:rsidR="00056E91" w:rsidRPr="00A61813" w:rsidTr="007E794C">
        <w:trPr>
          <w:trHeight w:val="288"/>
        </w:trPr>
        <w:tc>
          <w:tcPr>
            <w:tcW w:w="4621" w:type="dxa"/>
            <w:shd w:val="clear" w:color="auto" w:fill="auto"/>
          </w:tcPr>
          <w:p w:rsidR="00056E91" w:rsidRPr="00A61813" w:rsidRDefault="00056E91" w:rsidP="00A61813">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Patrick Melia</w:t>
            </w:r>
          </w:p>
        </w:tc>
        <w:tc>
          <w:tcPr>
            <w:tcW w:w="4621" w:type="dxa"/>
            <w:shd w:val="clear" w:color="auto" w:fill="auto"/>
          </w:tcPr>
          <w:p w:rsidR="00056E91"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Chief Executive, </w:t>
            </w:r>
            <w:r w:rsidR="00056E91">
              <w:rPr>
                <w:rFonts w:ascii="Arial" w:eastAsia="Times New Roman" w:hAnsi="Arial" w:cs="Times New Roman"/>
                <w:sz w:val="24"/>
                <w:szCs w:val="24"/>
                <w:lang w:eastAsia="en-GB"/>
              </w:rPr>
              <w:t>North Tyneside Council</w:t>
            </w:r>
          </w:p>
        </w:tc>
      </w:tr>
      <w:tr w:rsidR="00A260B2" w:rsidRPr="00A61813" w:rsidTr="007E794C">
        <w:trPr>
          <w:trHeight w:val="288"/>
        </w:trPr>
        <w:tc>
          <w:tcPr>
            <w:tcW w:w="4621" w:type="dxa"/>
            <w:shd w:val="clear" w:color="auto" w:fill="auto"/>
          </w:tcPr>
          <w:p w:rsidR="00A260B2" w:rsidRDefault="00A260B2" w:rsidP="00A260B2">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Hans M</w:t>
            </w:r>
            <w:r>
              <w:rPr>
                <w:rFonts w:ascii="Arial" w:eastAsia="Times New Roman" w:hAnsi="Arial" w:cs="Arial"/>
                <w:sz w:val="24"/>
                <w:szCs w:val="24"/>
                <w:lang w:eastAsia="en-GB"/>
              </w:rPr>
              <w:t>ö</w:t>
            </w:r>
            <w:r>
              <w:rPr>
                <w:rFonts w:ascii="Arial" w:eastAsia="Times New Roman" w:hAnsi="Arial" w:cs="Times New Roman"/>
                <w:sz w:val="24"/>
                <w:szCs w:val="24"/>
                <w:lang w:eastAsia="en-GB"/>
              </w:rPr>
              <w:t>ller</w:t>
            </w:r>
          </w:p>
        </w:tc>
        <w:tc>
          <w:tcPr>
            <w:tcW w:w="4621" w:type="dxa"/>
            <w:shd w:val="clear" w:color="auto" w:fill="auto"/>
          </w:tcPr>
          <w:p w:rsidR="00A260B2" w:rsidRDefault="00A260B2"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Innovation Director</w:t>
            </w:r>
          </w:p>
        </w:tc>
      </w:tr>
      <w:tr w:rsidR="00A260B2" w:rsidRPr="00A61813" w:rsidTr="007E794C">
        <w:trPr>
          <w:trHeight w:val="288"/>
        </w:trPr>
        <w:tc>
          <w:tcPr>
            <w:tcW w:w="4621" w:type="dxa"/>
            <w:shd w:val="clear" w:color="auto" w:fill="auto"/>
          </w:tcPr>
          <w:p w:rsidR="00A260B2" w:rsidRDefault="00A260B2" w:rsidP="00A61813">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Ray Browning</w:t>
            </w:r>
          </w:p>
        </w:tc>
        <w:tc>
          <w:tcPr>
            <w:tcW w:w="4621" w:type="dxa"/>
            <w:shd w:val="clear" w:color="auto" w:fill="auto"/>
          </w:tcPr>
          <w:p w:rsidR="00A260B2" w:rsidRDefault="00A260B2"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LEP Executive Team</w:t>
            </w: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Gillian Kelly</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Sunderland City Council</w:t>
            </w: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Apologies</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7E794C">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Farooq Hakim</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BT</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Jeremy Middleton</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Middleton Enterprises</w:t>
            </w:r>
          </w:p>
        </w:tc>
      </w:tr>
      <w:tr w:rsidR="00A260B2" w:rsidRPr="00A61813" w:rsidTr="007E794C">
        <w:trPr>
          <w:trHeight w:val="288"/>
        </w:trPr>
        <w:tc>
          <w:tcPr>
            <w:tcW w:w="4621" w:type="dxa"/>
            <w:shd w:val="clear" w:color="auto" w:fill="auto"/>
          </w:tcPr>
          <w:p w:rsidR="00A260B2"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Heidi Mottram</w:t>
            </w:r>
          </w:p>
        </w:tc>
        <w:tc>
          <w:tcPr>
            <w:tcW w:w="4621" w:type="dxa"/>
            <w:shd w:val="clear" w:color="auto" w:fill="auto"/>
          </w:tcPr>
          <w:p w:rsidR="00A260B2"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Northumbrian Water Group</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Paul Watson</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Sunderland City Council</w:t>
            </w:r>
          </w:p>
        </w:tc>
      </w:tr>
      <w:tr w:rsidR="00A260B2" w:rsidRPr="00A61813" w:rsidTr="007E794C">
        <w:trPr>
          <w:trHeight w:val="288"/>
        </w:trPr>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Pr>
                <w:rFonts w:ascii="Arial" w:eastAsia="Times New Roman" w:hAnsi="Arial" w:cs="Times New Roman"/>
                <w:sz w:val="24"/>
                <w:szCs w:val="24"/>
                <w:lang w:eastAsia="en-GB"/>
              </w:rPr>
              <w:t>Jon Vincent</w:t>
            </w:r>
          </w:p>
        </w:tc>
        <w:tc>
          <w:tcPr>
            <w:tcW w:w="4621" w:type="dxa"/>
            <w:shd w:val="clear" w:color="auto" w:fill="auto"/>
          </w:tcPr>
          <w:p w:rsidR="00A260B2" w:rsidRPr="00A61813" w:rsidRDefault="00A260B2" w:rsidP="00DF098D">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Association of North East Colleges</w:t>
            </w:r>
          </w:p>
        </w:tc>
      </w:tr>
      <w:tr w:rsidR="00A61813" w:rsidRPr="00A61813" w:rsidTr="007E794C">
        <w:trPr>
          <w:trHeight w:val="288"/>
        </w:trPr>
        <w:tc>
          <w:tcPr>
            <w:tcW w:w="4621" w:type="dxa"/>
            <w:shd w:val="clear" w:color="auto" w:fill="auto"/>
          </w:tcPr>
          <w:p w:rsidR="00A61813" w:rsidRPr="00A61813" w:rsidRDefault="00A61813" w:rsidP="007E794C">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7E794C">
            <w:pPr>
              <w:rPr>
                <w:rFonts w:ascii="Arial" w:eastAsia="Times New Roman" w:hAnsi="Arial" w:cs="Times New Roman"/>
                <w:sz w:val="24"/>
                <w:szCs w:val="24"/>
                <w:lang w:eastAsia="en-GB"/>
              </w:rPr>
            </w:pPr>
          </w:p>
        </w:tc>
      </w:tr>
    </w:tbl>
    <w:p w:rsidR="00A260B2" w:rsidRDefault="00A260B2" w:rsidP="00A61813">
      <w:pPr>
        <w:rPr>
          <w:rFonts w:ascii="Arial" w:eastAsia="Times New Roman" w:hAnsi="Arial" w:cs="Times New Roman"/>
          <w:sz w:val="24"/>
          <w:szCs w:val="24"/>
          <w:lang w:eastAsia="en-GB"/>
        </w:rPr>
      </w:pPr>
    </w:p>
    <w:tbl>
      <w:tblPr>
        <w:tblW w:w="10512" w:type="dxa"/>
        <w:tblLayout w:type="fixed"/>
        <w:tblLook w:val="01E0" w:firstRow="1" w:lastRow="1" w:firstColumn="1" w:lastColumn="1" w:noHBand="0" w:noVBand="0"/>
      </w:tblPr>
      <w:tblGrid>
        <w:gridCol w:w="576"/>
        <w:gridCol w:w="8532"/>
        <w:gridCol w:w="1404"/>
      </w:tblGrid>
      <w:tr w:rsidR="00A61813" w:rsidRPr="00A61813" w:rsidTr="00D80263">
        <w:tc>
          <w:tcPr>
            <w:tcW w:w="576" w:type="dxa"/>
            <w:tcBorders>
              <w:bottom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tc>
        <w:tc>
          <w:tcPr>
            <w:tcW w:w="8532" w:type="dxa"/>
            <w:tcBorders>
              <w:bottom w:val="single" w:sz="4" w:space="0" w:color="auto"/>
              <w:righ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tc>
        <w:tc>
          <w:tcPr>
            <w:tcW w:w="1404" w:type="dxa"/>
            <w:tcBorders>
              <w:left w:val="single" w:sz="4" w:space="0" w:color="auto"/>
              <w:bottom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ACTION</w:t>
            </w:r>
          </w:p>
        </w:tc>
      </w:tr>
      <w:tr w:rsidR="00A61813" w:rsidRPr="00A61813" w:rsidTr="00D80263">
        <w:tc>
          <w:tcPr>
            <w:tcW w:w="576" w:type="dxa"/>
            <w:tcBorders>
              <w:top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1.</w:t>
            </w:r>
          </w:p>
        </w:tc>
        <w:tc>
          <w:tcPr>
            <w:tcW w:w="8532" w:type="dxa"/>
            <w:tcBorders>
              <w:top w:val="single" w:sz="4" w:space="0" w:color="auto"/>
              <w:righ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WELCOME FROM THE CHAIR AND OPENING REMARKS</w:t>
            </w:r>
          </w:p>
          <w:p w:rsidR="00A61813" w:rsidRPr="00A61813" w:rsidRDefault="00A61813" w:rsidP="00A61813">
            <w:pPr>
              <w:rPr>
                <w:rFonts w:ascii="Arial" w:eastAsia="Times New Roman" w:hAnsi="Arial" w:cs="Times New Roman"/>
                <w:b/>
                <w:sz w:val="24"/>
                <w:szCs w:val="24"/>
                <w:lang w:eastAsia="en-GB"/>
              </w:rPr>
            </w:pPr>
          </w:p>
          <w:p w:rsidR="00E92EC3" w:rsidRPr="008009B5"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The Chair w</w:t>
            </w:r>
            <w:r w:rsidR="00BC0EB6">
              <w:rPr>
                <w:rFonts w:ascii="Arial" w:eastAsia="Times New Roman" w:hAnsi="Arial" w:cs="Times New Roman"/>
                <w:sz w:val="24"/>
                <w:szCs w:val="24"/>
                <w:lang w:eastAsia="en-GB"/>
              </w:rPr>
              <w:t>elcomed everyone to the meeting and</w:t>
            </w:r>
            <w:r w:rsidRPr="00A61813">
              <w:rPr>
                <w:rFonts w:ascii="Arial" w:eastAsia="Times New Roman" w:hAnsi="Arial" w:cs="Times New Roman"/>
                <w:sz w:val="24"/>
                <w:szCs w:val="24"/>
                <w:lang w:eastAsia="en-GB"/>
              </w:rPr>
              <w:t xml:space="preserve"> thanked them for their </w:t>
            </w:r>
            <w:r w:rsidR="00AD30F9">
              <w:rPr>
                <w:rFonts w:ascii="Arial" w:eastAsia="Times New Roman" w:hAnsi="Arial" w:cs="Times New Roman"/>
                <w:sz w:val="24"/>
                <w:szCs w:val="24"/>
                <w:lang w:eastAsia="en-GB"/>
              </w:rPr>
              <w:t>attendance</w:t>
            </w:r>
            <w:r w:rsidR="00BC0EB6">
              <w:rPr>
                <w:rFonts w:ascii="Arial" w:eastAsia="Times New Roman" w:hAnsi="Arial" w:cs="Times New Roman"/>
                <w:sz w:val="24"/>
                <w:szCs w:val="24"/>
                <w:lang w:eastAsia="en-GB"/>
              </w:rPr>
              <w:t>.</w:t>
            </w:r>
            <w:r w:rsidR="00AD30F9">
              <w:rPr>
                <w:rFonts w:ascii="Arial" w:eastAsia="Times New Roman" w:hAnsi="Arial" w:cs="Times New Roman"/>
                <w:sz w:val="24"/>
                <w:szCs w:val="24"/>
                <w:lang w:eastAsia="en-GB"/>
              </w:rPr>
              <w:t xml:space="preserve"> </w:t>
            </w:r>
            <w:r w:rsidR="00E92EC3">
              <w:rPr>
                <w:rFonts w:ascii="Arial" w:eastAsia="Times New Roman" w:hAnsi="Arial" w:cs="Times New Roman"/>
                <w:sz w:val="24"/>
                <w:szCs w:val="24"/>
                <w:lang w:eastAsia="en-GB"/>
              </w:rPr>
              <w:t xml:space="preserve"> He also </w:t>
            </w:r>
            <w:r w:rsidR="009456CF">
              <w:rPr>
                <w:rFonts w:ascii="Arial" w:eastAsia="Times New Roman" w:hAnsi="Arial" w:cs="Times New Roman"/>
                <w:sz w:val="24"/>
                <w:szCs w:val="24"/>
                <w:lang w:eastAsia="en-GB"/>
              </w:rPr>
              <w:t xml:space="preserve">welcomed </w:t>
            </w:r>
            <w:r w:rsidR="00E92EC3">
              <w:rPr>
                <w:rFonts w:ascii="Arial" w:eastAsia="Times New Roman" w:hAnsi="Arial" w:cs="Times New Roman"/>
                <w:sz w:val="24"/>
                <w:szCs w:val="24"/>
                <w:lang w:eastAsia="en-GB"/>
              </w:rPr>
              <w:t>Councillor Martin Gannon to his</w:t>
            </w:r>
            <w:r w:rsidR="009456CF">
              <w:rPr>
                <w:rFonts w:ascii="Arial" w:eastAsia="Times New Roman" w:hAnsi="Arial" w:cs="Times New Roman"/>
                <w:sz w:val="24"/>
                <w:szCs w:val="24"/>
                <w:lang w:eastAsia="en-GB"/>
              </w:rPr>
              <w:t xml:space="preserve"> first meeting of the LEP Board.</w:t>
            </w:r>
            <w:r w:rsidR="00D6475E">
              <w:rPr>
                <w:rFonts w:ascii="Arial" w:eastAsia="Times New Roman" w:hAnsi="Arial" w:cs="Times New Roman"/>
                <w:sz w:val="24"/>
                <w:szCs w:val="24"/>
                <w:lang w:eastAsia="en-GB"/>
              </w:rPr>
              <w:t xml:space="preserve">  </w:t>
            </w:r>
          </w:p>
        </w:tc>
        <w:tc>
          <w:tcPr>
            <w:tcW w:w="1404" w:type="dxa"/>
            <w:tcBorders>
              <w:top w:val="single" w:sz="4" w:space="0" w:color="auto"/>
              <w:lef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p w:rsidR="00A61813" w:rsidRPr="00A61813" w:rsidRDefault="00A61813" w:rsidP="00A61813">
            <w:pPr>
              <w:rPr>
                <w:rFonts w:ascii="Arial" w:eastAsia="Times New Roman" w:hAnsi="Arial" w:cs="Times New Roman"/>
                <w:b/>
                <w:sz w:val="24"/>
                <w:szCs w:val="24"/>
                <w:lang w:eastAsia="en-GB"/>
              </w:rPr>
            </w:pPr>
          </w:p>
        </w:tc>
      </w:tr>
      <w:tr w:rsidR="001957CF" w:rsidRPr="00A61813" w:rsidTr="00D80263">
        <w:tc>
          <w:tcPr>
            <w:tcW w:w="576" w:type="dxa"/>
            <w:shd w:val="clear" w:color="auto" w:fill="auto"/>
          </w:tcPr>
          <w:p w:rsidR="001957CF" w:rsidRPr="00A61813" w:rsidRDefault="001957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2.</w:t>
            </w:r>
          </w:p>
        </w:tc>
        <w:tc>
          <w:tcPr>
            <w:tcW w:w="8532" w:type="dxa"/>
            <w:tcBorders>
              <w:right w:val="single" w:sz="4" w:space="0" w:color="auto"/>
            </w:tcBorders>
            <w:shd w:val="clear" w:color="auto" w:fill="auto"/>
          </w:tcPr>
          <w:p w:rsidR="001957CF" w:rsidRDefault="00D6475E" w:rsidP="001957CF">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MINUTES AND MATTERS ARISING</w:t>
            </w:r>
          </w:p>
          <w:p w:rsidR="001957CF" w:rsidRDefault="001957CF" w:rsidP="001957CF">
            <w:pPr>
              <w:rPr>
                <w:rFonts w:ascii="Arial" w:eastAsia="Times New Roman" w:hAnsi="Arial" w:cs="Times New Roman"/>
                <w:b/>
                <w:sz w:val="24"/>
                <w:szCs w:val="24"/>
                <w:lang w:eastAsia="en-GB"/>
              </w:rPr>
            </w:pPr>
          </w:p>
          <w:p w:rsidR="004A132C" w:rsidRDefault="00D6475E" w:rsidP="00E92EC3">
            <w:pPr>
              <w:rPr>
                <w:rFonts w:ascii="Arial" w:hAnsi="Arial" w:cs="Arial"/>
                <w:sz w:val="24"/>
                <w:szCs w:val="24"/>
              </w:rPr>
            </w:pPr>
            <w:r w:rsidRPr="00D6475E">
              <w:rPr>
                <w:rFonts w:ascii="Arial" w:hAnsi="Arial" w:cs="Arial"/>
                <w:sz w:val="24"/>
                <w:szCs w:val="24"/>
              </w:rPr>
              <w:t xml:space="preserve">The minutes of the Board meeting held on </w:t>
            </w:r>
            <w:r w:rsidR="00E92EC3">
              <w:rPr>
                <w:rFonts w:ascii="Arial" w:hAnsi="Arial" w:cs="Arial"/>
                <w:sz w:val="24"/>
                <w:szCs w:val="24"/>
              </w:rPr>
              <w:t>13 April</w:t>
            </w:r>
            <w:r w:rsidR="00BB143A">
              <w:rPr>
                <w:rFonts w:ascii="Arial" w:hAnsi="Arial" w:cs="Arial"/>
                <w:sz w:val="24"/>
                <w:szCs w:val="24"/>
              </w:rPr>
              <w:t xml:space="preserve"> 2016 were agreed as a correct record</w:t>
            </w:r>
            <w:r w:rsidR="00E92EC3">
              <w:rPr>
                <w:rFonts w:ascii="Arial" w:hAnsi="Arial" w:cs="Arial"/>
                <w:sz w:val="24"/>
                <w:szCs w:val="24"/>
              </w:rPr>
              <w:t>.</w:t>
            </w:r>
            <w:r w:rsidR="00BB143A">
              <w:rPr>
                <w:rFonts w:ascii="Arial" w:hAnsi="Arial" w:cs="Arial"/>
                <w:sz w:val="24"/>
                <w:szCs w:val="24"/>
              </w:rPr>
              <w:t xml:space="preserve"> </w:t>
            </w:r>
          </w:p>
          <w:p w:rsidR="00E92EC3" w:rsidRDefault="00E92EC3" w:rsidP="00E92EC3">
            <w:pPr>
              <w:rPr>
                <w:rFonts w:ascii="Arial" w:hAnsi="Arial" w:cs="Arial"/>
                <w:sz w:val="24"/>
                <w:szCs w:val="24"/>
              </w:rPr>
            </w:pPr>
          </w:p>
          <w:p w:rsidR="00E92EC3" w:rsidRPr="00775991" w:rsidRDefault="00E92EC3" w:rsidP="00E92EC3">
            <w:pPr>
              <w:rPr>
                <w:rFonts w:ascii="Arial" w:hAnsi="Arial" w:cs="Arial"/>
                <w:b/>
                <w:sz w:val="24"/>
                <w:szCs w:val="24"/>
              </w:rPr>
            </w:pPr>
          </w:p>
        </w:tc>
        <w:tc>
          <w:tcPr>
            <w:tcW w:w="1404" w:type="dxa"/>
            <w:tcBorders>
              <w:left w:val="single" w:sz="4" w:space="0" w:color="auto"/>
            </w:tcBorders>
            <w:shd w:val="clear" w:color="auto" w:fill="auto"/>
          </w:tcPr>
          <w:p w:rsidR="001957CF" w:rsidRDefault="001957CF" w:rsidP="00A61813">
            <w:pPr>
              <w:rPr>
                <w:rFonts w:ascii="Arial" w:eastAsia="Times New Roman" w:hAnsi="Arial" w:cs="Times New Roman"/>
                <w:b/>
                <w:sz w:val="24"/>
                <w:szCs w:val="24"/>
                <w:lang w:eastAsia="en-GB"/>
              </w:rPr>
            </w:pPr>
          </w:p>
          <w:p w:rsidR="0077540A" w:rsidRDefault="0077540A" w:rsidP="00A61813">
            <w:pPr>
              <w:rPr>
                <w:rFonts w:ascii="Arial" w:eastAsia="Times New Roman" w:hAnsi="Arial" w:cs="Times New Roman"/>
                <w:b/>
                <w:sz w:val="24"/>
                <w:szCs w:val="24"/>
                <w:lang w:eastAsia="en-GB"/>
              </w:rPr>
            </w:pPr>
          </w:p>
          <w:p w:rsidR="0077540A" w:rsidRDefault="0077540A"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Pr="00A61813" w:rsidRDefault="002840CC" w:rsidP="00A61813">
            <w:pPr>
              <w:rPr>
                <w:rFonts w:ascii="Arial" w:eastAsia="Times New Roman" w:hAnsi="Arial" w:cs="Times New Roman"/>
                <w:b/>
                <w:sz w:val="24"/>
                <w:szCs w:val="24"/>
                <w:lang w:eastAsia="en-GB"/>
              </w:rPr>
            </w:pPr>
          </w:p>
        </w:tc>
      </w:tr>
      <w:tr w:rsidR="00B358D9" w:rsidRPr="00A61813" w:rsidTr="00D80263">
        <w:tc>
          <w:tcPr>
            <w:tcW w:w="576" w:type="dxa"/>
            <w:shd w:val="clear" w:color="auto" w:fill="auto"/>
          </w:tcPr>
          <w:p w:rsidR="00B358D9" w:rsidRDefault="00B358D9"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3.</w:t>
            </w:r>
          </w:p>
        </w:tc>
        <w:tc>
          <w:tcPr>
            <w:tcW w:w="8532" w:type="dxa"/>
            <w:tcBorders>
              <w:right w:val="single" w:sz="4" w:space="0" w:color="auto"/>
            </w:tcBorders>
            <w:shd w:val="clear" w:color="auto" w:fill="auto"/>
          </w:tcPr>
          <w:p w:rsidR="00B358D9" w:rsidRPr="00B358D9" w:rsidRDefault="00A260B2" w:rsidP="00B358D9">
            <w:pPr>
              <w:rPr>
                <w:rFonts w:ascii="Arial" w:hAnsi="Arial" w:cs="Arial"/>
                <w:b/>
                <w:sz w:val="24"/>
                <w:szCs w:val="24"/>
              </w:rPr>
            </w:pPr>
            <w:r>
              <w:rPr>
                <w:rFonts w:ascii="Arial" w:hAnsi="Arial" w:cs="Arial"/>
                <w:b/>
                <w:sz w:val="24"/>
                <w:szCs w:val="24"/>
              </w:rPr>
              <w:t>INNOVATION UPDATE – LIFE SCIENCES</w:t>
            </w:r>
          </w:p>
          <w:p w:rsidR="00B358D9" w:rsidRDefault="00B358D9" w:rsidP="001957CF">
            <w:pPr>
              <w:rPr>
                <w:rFonts w:ascii="Arial" w:eastAsia="Times New Roman" w:hAnsi="Arial" w:cs="Times New Roman"/>
                <w:b/>
                <w:sz w:val="24"/>
                <w:szCs w:val="24"/>
                <w:lang w:eastAsia="en-GB"/>
              </w:rPr>
            </w:pPr>
          </w:p>
          <w:p w:rsidR="00D91AA8" w:rsidRDefault="00E92EC3" w:rsidP="00E92EC3">
            <w:pPr>
              <w:rPr>
                <w:rFonts w:ascii="Arial" w:eastAsia="Times New Roman" w:hAnsi="Arial" w:cs="Times New Roman"/>
                <w:sz w:val="24"/>
                <w:szCs w:val="24"/>
                <w:lang w:eastAsia="en-GB"/>
              </w:rPr>
            </w:pPr>
            <w:r>
              <w:rPr>
                <w:rFonts w:ascii="Arial" w:eastAsia="Times New Roman" w:hAnsi="Arial" w:cs="Times New Roman"/>
                <w:sz w:val="24"/>
                <w:szCs w:val="24"/>
                <w:lang w:eastAsia="en-GB"/>
              </w:rPr>
              <w:t>Hans M</w:t>
            </w:r>
            <w:r>
              <w:rPr>
                <w:rFonts w:ascii="Arial" w:eastAsia="Times New Roman" w:hAnsi="Arial" w:cs="Arial"/>
                <w:sz w:val="24"/>
                <w:szCs w:val="24"/>
                <w:lang w:eastAsia="en-GB"/>
              </w:rPr>
              <w:t>ö</w:t>
            </w:r>
            <w:r>
              <w:rPr>
                <w:rFonts w:ascii="Arial" w:eastAsia="Times New Roman" w:hAnsi="Arial" w:cs="Times New Roman"/>
                <w:sz w:val="24"/>
                <w:szCs w:val="24"/>
                <w:lang w:eastAsia="en-GB"/>
              </w:rPr>
              <w:t>ller, Innovation Director was in attendance to deliver a presentation n innovation and the Health and Life Sciences Smart Specialisation area.</w:t>
            </w:r>
          </w:p>
          <w:p w:rsidR="00E92EC3" w:rsidRDefault="00E92EC3" w:rsidP="00E92EC3">
            <w:pPr>
              <w:rPr>
                <w:rFonts w:ascii="Arial" w:eastAsia="Times New Roman" w:hAnsi="Arial" w:cs="Times New Roman"/>
                <w:sz w:val="24"/>
                <w:szCs w:val="24"/>
                <w:lang w:eastAsia="en-GB"/>
              </w:rPr>
            </w:pPr>
          </w:p>
          <w:p w:rsidR="00E92EC3" w:rsidRDefault="00E92EC3" w:rsidP="00E92EC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Hans began by setting out the reasons for the region to be an innovation hotspot and how this could be achieved. He highlighted that </w:t>
            </w:r>
            <w:r w:rsidR="002C59DD">
              <w:rPr>
                <w:rFonts w:ascii="Arial" w:eastAsia="Times New Roman" w:hAnsi="Arial" w:cs="Times New Roman"/>
                <w:sz w:val="24"/>
                <w:szCs w:val="24"/>
                <w:lang w:eastAsia="en-GB"/>
              </w:rPr>
              <w:t xml:space="preserve">the </w:t>
            </w:r>
            <w:r>
              <w:rPr>
                <w:rFonts w:ascii="Arial" w:eastAsia="Times New Roman" w:hAnsi="Arial" w:cs="Times New Roman"/>
                <w:sz w:val="24"/>
                <w:szCs w:val="24"/>
                <w:lang w:eastAsia="en-GB"/>
              </w:rPr>
              <w:t xml:space="preserve">innovation project pipeline </w:t>
            </w:r>
            <w:r w:rsidR="00D36FE3">
              <w:rPr>
                <w:rFonts w:ascii="Arial" w:eastAsia="Times New Roman" w:hAnsi="Arial" w:cs="Times New Roman"/>
                <w:sz w:val="24"/>
                <w:szCs w:val="24"/>
                <w:lang w:eastAsia="en-GB"/>
              </w:rPr>
              <w:t>was ambitious and growing</w:t>
            </w:r>
            <w:r>
              <w:rPr>
                <w:rFonts w:ascii="Arial" w:eastAsia="Times New Roman" w:hAnsi="Arial" w:cs="Times New Roman"/>
                <w:sz w:val="24"/>
                <w:szCs w:val="24"/>
                <w:lang w:eastAsia="en-GB"/>
              </w:rPr>
              <w:t xml:space="preserve"> and hoped that some funding may be available for local control post-devolution. The current programme pipeline was set out in the presentation.</w:t>
            </w:r>
          </w:p>
          <w:p w:rsidR="00E92EC3" w:rsidRDefault="00E92EC3" w:rsidP="00E92EC3">
            <w:pPr>
              <w:rPr>
                <w:rFonts w:ascii="Arial" w:eastAsia="Times New Roman" w:hAnsi="Arial" w:cs="Times New Roman"/>
                <w:sz w:val="24"/>
                <w:szCs w:val="24"/>
                <w:lang w:eastAsia="en-GB"/>
              </w:rPr>
            </w:pPr>
          </w:p>
          <w:p w:rsidR="00E92EC3" w:rsidRDefault="00E92EC3" w:rsidP="00E92EC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LEP Innovation Board had </w:t>
            </w:r>
            <w:r w:rsidR="00DA543C">
              <w:rPr>
                <w:rFonts w:ascii="Arial" w:eastAsia="Times New Roman" w:hAnsi="Arial" w:cs="Times New Roman"/>
                <w:sz w:val="24"/>
                <w:szCs w:val="24"/>
                <w:lang w:eastAsia="en-GB"/>
              </w:rPr>
              <w:t>established</w:t>
            </w:r>
            <w:r>
              <w:rPr>
                <w:rFonts w:ascii="Arial" w:eastAsia="Times New Roman" w:hAnsi="Arial" w:cs="Times New Roman"/>
                <w:sz w:val="24"/>
                <w:szCs w:val="24"/>
                <w:lang w:eastAsia="en-GB"/>
              </w:rPr>
              <w:t xml:space="preserve"> a working group to develop key recommendations to </w:t>
            </w:r>
            <w:r w:rsidR="00DA543C">
              <w:rPr>
                <w:rFonts w:ascii="Arial" w:eastAsia="Times New Roman" w:hAnsi="Arial" w:cs="Times New Roman"/>
                <w:sz w:val="24"/>
                <w:szCs w:val="24"/>
                <w:lang w:eastAsia="en-GB"/>
              </w:rPr>
              <w:t>underpin</w:t>
            </w:r>
            <w:r>
              <w:rPr>
                <w:rFonts w:ascii="Arial" w:eastAsia="Times New Roman" w:hAnsi="Arial" w:cs="Times New Roman"/>
                <w:sz w:val="24"/>
                <w:szCs w:val="24"/>
                <w:lang w:eastAsia="en-GB"/>
              </w:rPr>
              <w:t xml:space="preserve"> a strategic response to the development of the Health and Life Sciences Smart Specialisation area.</w:t>
            </w:r>
            <w:r w:rsidR="00A57CAA">
              <w:rPr>
                <w:rFonts w:ascii="Arial" w:eastAsia="Times New Roman" w:hAnsi="Arial" w:cs="Times New Roman"/>
                <w:sz w:val="24"/>
                <w:szCs w:val="24"/>
                <w:lang w:eastAsia="en-GB"/>
              </w:rPr>
              <w:t xml:space="preserve"> Hans highlighted that within the North East LEP area there were 159 life science businesses, 74 which were core companies and 85 which were part of the specialist supply chain. These businesses had 5,000 </w:t>
            </w:r>
            <w:r w:rsidR="00334BB8">
              <w:rPr>
                <w:rFonts w:ascii="Arial" w:eastAsia="Times New Roman" w:hAnsi="Arial" w:cs="Times New Roman"/>
                <w:sz w:val="24"/>
                <w:szCs w:val="24"/>
                <w:lang w:eastAsia="en-GB"/>
              </w:rPr>
              <w:t>employees</w:t>
            </w:r>
            <w:r w:rsidR="00A57CAA">
              <w:rPr>
                <w:rFonts w:ascii="Arial" w:eastAsia="Times New Roman" w:hAnsi="Arial" w:cs="Times New Roman"/>
                <w:sz w:val="24"/>
                <w:szCs w:val="24"/>
                <w:lang w:eastAsia="en-GB"/>
              </w:rPr>
              <w:t xml:space="preserve"> and their main concerns for future development were the skills shortage, a lack of appropriate accommodation and also the need for strategic support.</w:t>
            </w:r>
          </w:p>
          <w:p w:rsidR="00A57CAA" w:rsidRDefault="00A57CAA" w:rsidP="00E92EC3">
            <w:pPr>
              <w:rPr>
                <w:rFonts w:ascii="Arial" w:eastAsia="Times New Roman" w:hAnsi="Arial" w:cs="Times New Roman"/>
                <w:sz w:val="24"/>
                <w:szCs w:val="24"/>
                <w:lang w:eastAsia="en-GB"/>
              </w:rPr>
            </w:pPr>
          </w:p>
          <w:p w:rsidR="00A57CAA" w:rsidRDefault="00C81DD2" w:rsidP="00E92EC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Following on from their study, the </w:t>
            </w:r>
            <w:r w:rsidR="00A57CAA">
              <w:rPr>
                <w:rFonts w:ascii="Arial" w:eastAsia="Times New Roman" w:hAnsi="Arial" w:cs="Times New Roman"/>
                <w:sz w:val="24"/>
                <w:szCs w:val="24"/>
                <w:lang w:eastAsia="en-GB"/>
              </w:rPr>
              <w:t xml:space="preserve">working group had </w:t>
            </w:r>
            <w:r>
              <w:rPr>
                <w:rFonts w:ascii="Arial" w:eastAsia="Times New Roman" w:hAnsi="Arial" w:cs="Times New Roman"/>
                <w:sz w:val="24"/>
                <w:szCs w:val="24"/>
                <w:lang w:eastAsia="en-GB"/>
              </w:rPr>
              <w:t>suggested that</w:t>
            </w:r>
            <w:r w:rsidR="00A57CAA">
              <w:rPr>
                <w:rFonts w:ascii="Arial" w:eastAsia="Times New Roman" w:hAnsi="Arial" w:cs="Times New Roman"/>
                <w:sz w:val="24"/>
                <w:szCs w:val="24"/>
                <w:lang w:eastAsia="en-GB"/>
              </w:rPr>
              <w:t xml:space="preserve"> the LEP</w:t>
            </w:r>
            <w:r>
              <w:rPr>
                <w:rFonts w:ascii="Arial" w:eastAsia="Times New Roman" w:hAnsi="Arial" w:cs="Times New Roman"/>
                <w:sz w:val="24"/>
                <w:szCs w:val="24"/>
                <w:lang w:eastAsia="en-GB"/>
              </w:rPr>
              <w:t xml:space="preserve"> needed to</w:t>
            </w:r>
            <w:r w:rsidR="00A57CAA">
              <w:rPr>
                <w:rFonts w:ascii="Arial" w:eastAsia="Times New Roman" w:hAnsi="Arial" w:cs="Times New Roman"/>
                <w:sz w:val="24"/>
                <w:szCs w:val="24"/>
                <w:lang w:eastAsia="en-GB"/>
              </w:rPr>
              <w:t>: -</w:t>
            </w:r>
          </w:p>
          <w:p w:rsidR="00A57CAA" w:rsidRDefault="00A57CAA" w:rsidP="00E92EC3">
            <w:pPr>
              <w:rPr>
                <w:rFonts w:ascii="Arial" w:eastAsia="Times New Roman" w:hAnsi="Arial" w:cs="Times New Roman"/>
                <w:sz w:val="24"/>
                <w:szCs w:val="24"/>
                <w:lang w:eastAsia="en-GB"/>
              </w:rPr>
            </w:pPr>
          </w:p>
          <w:p w:rsidR="00A57CAA" w:rsidRDefault="00C81DD2" w:rsidP="00A57CAA">
            <w:pPr>
              <w:pStyle w:val="ListParagraph"/>
              <w:numPr>
                <w:ilvl w:val="0"/>
                <w:numId w:val="25"/>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Create effective strategic leadership and better coordination of support;</w:t>
            </w:r>
          </w:p>
          <w:p w:rsidR="00C81DD2" w:rsidRDefault="00C81DD2" w:rsidP="00A57CAA">
            <w:pPr>
              <w:pStyle w:val="ListParagraph"/>
              <w:numPr>
                <w:ilvl w:val="0"/>
                <w:numId w:val="25"/>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More effectively promote the Life Sciences sector;</w:t>
            </w:r>
          </w:p>
          <w:p w:rsidR="00C81DD2" w:rsidRDefault="00C81DD2" w:rsidP="00A57CAA">
            <w:pPr>
              <w:pStyle w:val="ListParagraph"/>
              <w:numPr>
                <w:ilvl w:val="0"/>
                <w:numId w:val="25"/>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Put the right facilities in place;</w:t>
            </w:r>
          </w:p>
          <w:p w:rsidR="00C81DD2" w:rsidRDefault="00C81DD2" w:rsidP="00A57CAA">
            <w:pPr>
              <w:pStyle w:val="ListParagraph"/>
              <w:numPr>
                <w:ilvl w:val="0"/>
                <w:numId w:val="25"/>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Focus on sub-sectoral strengths and regional assets; and</w:t>
            </w:r>
          </w:p>
          <w:p w:rsidR="00C81DD2" w:rsidRDefault="00C81DD2" w:rsidP="00A57CAA">
            <w:pPr>
              <w:pStyle w:val="ListParagraph"/>
              <w:numPr>
                <w:ilvl w:val="0"/>
                <w:numId w:val="25"/>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Improve the </w:t>
            </w:r>
            <w:r w:rsidR="00334BB8">
              <w:rPr>
                <w:rFonts w:ascii="Arial" w:eastAsia="Times New Roman" w:hAnsi="Arial" w:cs="Times New Roman"/>
                <w:sz w:val="24"/>
                <w:szCs w:val="24"/>
                <w:lang w:eastAsia="en-GB"/>
              </w:rPr>
              <w:t>scientific</w:t>
            </w:r>
            <w:r>
              <w:rPr>
                <w:rFonts w:ascii="Arial" w:eastAsia="Times New Roman" w:hAnsi="Arial" w:cs="Times New Roman"/>
                <w:sz w:val="24"/>
                <w:szCs w:val="24"/>
                <w:lang w:eastAsia="en-GB"/>
              </w:rPr>
              <w:t>, technical and leadership skills base.</w:t>
            </w:r>
          </w:p>
          <w:p w:rsidR="00C81DD2" w:rsidRPr="00A57CAA" w:rsidRDefault="00C81DD2" w:rsidP="00C81DD2">
            <w:pPr>
              <w:pStyle w:val="ListParagraph"/>
              <w:ind w:left="360"/>
              <w:rPr>
                <w:rFonts w:ascii="Arial" w:eastAsia="Times New Roman" w:hAnsi="Arial" w:cs="Times New Roman"/>
                <w:sz w:val="24"/>
                <w:szCs w:val="24"/>
                <w:lang w:eastAsia="en-GB"/>
              </w:rPr>
            </w:pPr>
          </w:p>
          <w:p w:rsidR="00BB143A" w:rsidRDefault="00334BB8"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working group’s report had been received positively by the Innovation Board and the LEP Executive Team had taken away the recommendations to consider an appropriate way forward in light of timescales, position in the business planning process and availability of resources. </w:t>
            </w:r>
            <w:r w:rsidR="00C81DD2">
              <w:rPr>
                <w:rFonts w:ascii="Arial" w:eastAsia="Times New Roman" w:hAnsi="Arial" w:cs="Times New Roman"/>
                <w:sz w:val="24"/>
                <w:szCs w:val="24"/>
                <w:lang w:eastAsia="en-GB"/>
              </w:rPr>
              <w:t>The proposed actions were set out in the report which accompanied the presentation.</w:t>
            </w:r>
          </w:p>
          <w:p w:rsidR="008B1A42" w:rsidRDefault="008B1A42" w:rsidP="00BB143A">
            <w:pPr>
              <w:rPr>
                <w:rFonts w:ascii="Arial" w:eastAsia="Times New Roman" w:hAnsi="Arial" w:cs="Times New Roman"/>
                <w:sz w:val="24"/>
                <w:szCs w:val="24"/>
                <w:lang w:eastAsia="en-GB"/>
              </w:rPr>
            </w:pPr>
          </w:p>
          <w:p w:rsidR="008B1A42" w:rsidRDefault="008B1A42"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Board Members understood that there were a number of organisations who were talking about innovation but not all of these bodies represented the whole sector and therefore it was important for the LEP to take the lead. </w:t>
            </w:r>
          </w:p>
          <w:p w:rsidR="008B1A42" w:rsidRDefault="008B1A42" w:rsidP="00BB143A">
            <w:pPr>
              <w:rPr>
                <w:rFonts w:ascii="Arial" w:eastAsia="Times New Roman" w:hAnsi="Arial" w:cs="Times New Roman"/>
                <w:sz w:val="24"/>
                <w:szCs w:val="24"/>
                <w:lang w:eastAsia="en-GB"/>
              </w:rPr>
            </w:pPr>
          </w:p>
          <w:p w:rsidR="008B1A42" w:rsidRDefault="00E53D5E"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It was felt</w:t>
            </w:r>
            <w:r w:rsidR="008B1A42">
              <w:rPr>
                <w:rFonts w:ascii="Arial" w:eastAsia="Times New Roman" w:hAnsi="Arial" w:cs="Times New Roman"/>
                <w:sz w:val="24"/>
                <w:szCs w:val="24"/>
                <w:lang w:eastAsia="en-GB"/>
              </w:rPr>
              <w:t xml:space="preserve"> that the working group’s report was very accurate on the future direction of the smart specialisation area but noted that the group </w:t>
            </w:r>
            <w:r w:rsidR="00334BB8">
              <w:rPr>
                <w:rFonts w:ascii="Arial" w:eastAsia="Times New Roman" w:hAnsi="Arial" w:cs="Times New Roman"/>
                <w:sz w:val="24"/>
                <w:szCs w:val="24"/>
                <w:lang w:eastAsia="en-GB"/>
              </w:rPr>
              <w:t>probably</w:t>
            </w:r>
            <w:r w:rsidR="008B1A42">
              <w:rPr>
                <w:rFonts w:ascii="Arial" w:eastAsia="Times New Roman" w:hAnsi="Arial" w:cs="Times New Roman"/>
                <w:sz w:val="24"/>
                <w:szCs w:val="24"/>
                <w:lang w:eastAsia="en-GB"/>
              </w:rPr>
              <w:t xml:space="preserve"> needed to develop further to ensure the work had the full contribution of all four universities.   </w:t>
            </w:r>
          </w:p>
          <w:p w:rsidR="00C81DD2" w:rsidRDefault="00C81DD2" w:rsidP="00BB143A">
            <w:pPr>
              <w:rPr>
                <w:rFonts w:ascii="Arial" w:eastAsia="Times New Roman" w:hAnsi="Arial" w:cs="Times New Roman"/>
                <w:sz w:val="24"/>
                <w:szCs w:val="24"/>
                <w:lang w:eastAsia="en-GB"/>
              </w:rPr>
            </w:pPr>
          </w:p>
          <w:p w:rsidR="00334BB8" w:rsidRDefault="00E53D5E"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The</w:t>
            </w:r>
            <w:r w:rsidR="008B1A42">
              <w:rPr>
                <w:rFonts w:ascii="Arial" w:eastAsia="Times New Roman" w:hAnsi="Arial" w:cs="Times New Roman"/>
                <w:sz w:val="24"/>
                <w:szCs w:val="24"/>
                <w:lang w:eastAsia="en-GB"/>
              </w:rPr>
              <w:t xml:space="preserve"> defined plan and tangible activity in relation to Life Sciences</w:t>
            </w:r>
            <w:r>
              <w:rPr>
                <w:rFonts w:ascii="Arial" w:eastAsia="Times New Roman" w:hAnsi="Arial" w:cs="Times New Roman"/>
                <w:sz w:val="24"/>
                <w:szCs w:val="24"/>
                <w:lang w:eastAsia="en-GB"/>
              </w:rPr>
              <w:t xml:space="preserve"> was welcomed and</w:t>
            </w:r>
            <w:r w:rsidR="008B1A42">
              <w:rPr>
                <w:rFonts w:ascii="Arial" w:eastAsia="Times New Roman" w:hAnsi="Arial" w:cs="Times New Roman"/>
                <w:sz w:val="24"/>
                <w:szCs w:val="24"/>
                <w:lang w:eastAsia="en-GB"/>
              </w:rPr>
              <w:t xml:space="preserve"> Hans </w:t>
            </w:r>
            <w:r>
              <w:rPr>
                <w:rFonts w:ascii="Arial" w:eastAsia="Times New Roman" w:hAnsi="Arial" w:cs="Times New Roman"/>
                <w:sz w:val="24"/>
                <w:szCs w:val="24"/>
                <w:lang w:eastAsia="en-GB"/>
              </w:rPr>
              <w:t xml:space="preserve">was asked to </w:t>
            </w:r>
            <w:r w:rsidR="008B1A42">
              <w:rPr>
                <w:rFonts w:ascii="Arial" w:eastAsia="Times New Roman" w:hAnsi="Arial" w:cs="Times New Roman"/>
                <w:sz w:val="24"/>
                <w:szCs w:val="24"/>
                <w:lang w:eastAsia="en-GB"/>
              </w:rPr>
              <w:t xml:space="preserve">come back to a future meeting with more detail about the resource capacity for delivering the approach. </w:t>
            </w:r>
          </w:p>
          <w:p w:rsidR="00E53D5E" w:rsidRDefault="00E53D5E" w:rsidP="00BB143A">
            <w:pPr>
              <w:rPr>
                <w:rFonts w:ascii="Arial" w:eastAsia="Times New Roman" w:hAnsi="Arial" w:cs="Times New Roman"/>
                <w:sz w:val="24"/>
                <w:szCs w:val="24"/>
                <w:lang w:eastAsia="en-GB"/>
              </w:rPr>
            </w:pPr>
          </w:p>
          <w:p w:rsidR="00334BB8" w:rsidRPr="00334BB8" w:rsidRDefault="00334BB8" w:rsidP="00BB143A">
            <w:pPr>
              <w:rPr>
                <w:rFonts w:ascii="Arial" w:eastAsia="Times New Roman" w:hAnsi="Arial" w:cs="Times New Roman"/>
                <w:b/>
                <w:sz w:val="24"/>
                <w:szCs w:val="24"/>
                <w:lang w:eastAsia="en-GB"/>
              </w:rPr>
            </w:pPr>
            <w:r w:rsidRPr="00334BB8">
              <w:rPr>
                <w:rFonts w:ascii="Arial" w:eastAsia="Times New Roman" w:hAnsi="Arial" w:cs="Times New Roman"/>
                <w:b/>
                <w:sz w:val="24"/>
                <w:szCs w:val="24"/>
                <w:lang w:eastAsia="en-GB"/>
              </w:rPr>
              <w:t>The Board AGREED that: -</w:t>
            </w:r>
          </w:p>
          <w:p w:rsidR="00334BB8" w:rsidRPr="00334BB8" w:rsidRDefault="00334BB8" w:rsidP="00BB143A">
            <w:pPr>
              <w:rPr>
                <w:rFonts w:ascii="Arial" w:eastAsia="Times New Roman" w:hAnsi="Arial" w:cs="Times New Roman"/>
                <w:b/>
                <w:sz w:val="24"/>
                <w:szCs w:val="24"/>
                <w:lang w:eastAsia="en-GB"/>
              </w:rPr>
            </w:pPr>
          </w:p>
          <w:p w:rsidR="00334BB8" w:rsidRPr="00334BB8" w:rsidRDefault="00334BB8" w:rsidP="00334BB8">
            <w:pPr>
              <w:pStyle w:val="ListParagraph"/>
              <w:numPr>
                <w:ilvl w:val="0"/>
                <w:numId w:val="26"/>
              </w:numPr>
              <w:ind w:left="720"/>
              <w:rPr>
                <w:rFonts w:ascii="Arial" w:eastAsia="Times New Roman" w:hAnsi="Arial" w:cs="Times New Roman"/>
                <w:b/>
                <w:sz w:val="24"/>
                <w:szCs w:val="24"/>
                <w:lang w:eastAsia="en-GB"/>
              </w:rPr>
            </w:pPr>
            <w:r w:rsidRPr="00334BB8">
              <w:rPr>
                <w:rFonts w:ascii="Arial" w:eastAsia="Times New Roman" w:hAnsi="Arial" w:cs="Times New Roman"/>
                <w:b/>
                <w:sz w:val="24"/>
                <w:szCs w:val="24"/>
                <w:lang w:eastAsia="en-GB"/>
              </w:rPr>
              <w:t>the report be received and noted; and</w:t>
            </w:r>
          </w:p>
          <w:p w:rsidR="00334BB8" w:rsidRPr="00334BB8" w:rsidRDefault="00334BB8" w:rsidP="00334BB8">
            <w:pPr>
              <w:pStyle w:val="ListParagraph"/>
              <w:rPr>
                <w:rFonts w:ascii="Arial" w:eastAsia="Times New Roman" w:hAnsi="Arial" w:cs="Times New Roman"/>
                <w:b/>
                <w:sz w:val="24"/>
                <w:szCs w:val="24"/>
                <w:lang w:eastAsia="en-GB"/>
              </w:rPr>
            </w:pPr>
          </w:p>
          <w:p w:rsidR="00C81DD2" w:rsidRPr="00334BB8" w:rsidRDefault="00334BB8" w:rsidP="00334BB8">
            <w:pPr>
              <w:pStyle w:val="ListParagraph"/>
              <w:numPr>
                <w:ilvl w:val="0"/>
                <w:numId w:val="26"/>
              </w:numPr>
              <w:ind w:left="720"/>
              <w:rPr>
                <w:rFonts w:ascii="Arial" w:eastAsia="Times New Roman" w:hAnsi="Arial" w:cs="Times New Roman"/>
                <w:b/>
                <w:sz w:val="24"/>
                <w:szCs w:val="24"/>
                <w:lang w:eastAsia="en-GB"/>
              </w:rPr>
            </w:pPr>
            <w:r w:rsidRPr="00334BB8">
              <w:rPr>
                <w:rFonts w:ascii="Arial" w:eastAsia="Times New Roman" w:hAnsi="Arial" w:cs="Times New Roman"/>
                <w:b/>
                <w:sz w:val="24"/>
                <w:szCs w:val="24"/>
                <w:lang w:eastAsia="en-GB"/>
              </w:rPr>
              <w:t xml:space="preserve">the proposed response to the report, noting the different phases and proposed actions, including the important role for partners to actively support delivery, be endorsed. </w:t>
            </w:r>
          </w:p>
          <w:p w:rsidR="00C81DD2" w:rsidRDefault="00C81DD2" w:rsidP="00BB143A">
            <w:pPr>
              <w:rPr>
                <w:rFonts w:ascii="Arial" w:eastAsia="Times New Roman" w:hAnsi="Arial" w:cs="Times New Roman"/>
                <w:sz w:val="24"/>
                <w:szCs w:val="24"/>
                <w:lang w:eastAsia="en-GB"/>
              </w:rPr>
            </w:pPr>
          </w:p>
          <w:p w:rsidR="00C81DD2" w:rsidRPr="00BB143A" w:rsidRDefault="00C81DD2" w:rsidP="00BB143A">
            <w:pPr>
              <w:rPr>
                <w:rFonts w:ascii="Arial" w:eastAsia="Times New Roman" w:hAnsi="Arial" w:cs="Times New Roman"/>
                <w:sz w:val="24"/>
                <w:szCs w:val="24"/>
                <w:lang w:eastAsia="en-GB"/>
              </w:rPr>
            </w:pPr>
          </w:p>
        </w:tc>
        <w:tc>
          <w:tcPr>
            <w:tcW w:w="1404" w:type="dxa"/>
            <w:tcBorders>
              <w:left w:val="single" w:sz="4" w:space="0" w:color="auto"/>
            </w:tcBorders>
            <w:shd w:val="clear" w:color="auto" w:fill="auto"/>
          </w:tcPr>
          <w:p w:rsidR="00B358D9" w:rsidRDefault="00B358D9"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Pr="00A61813" w:rsidRDefault="00D91AA8"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4.</w:t>
            </w:r>
          </w:p>
        </w:tc>
        <w:tc>
          <w:tcPr>
            <w:tcW w:w="8532" w:type="dxa"/>
            <w:tcBorders>
              <w:right w:val="single" w:sz="4" w:space="0" w:color="auto"/>
            </w:tcBorders>
            <w:shd w:val="clear" w:color="auto" w:fill="auto"/>
          </w:tcPr>
          <w:p w:rsidR="009456CF" w:rsidRDefault="00A260B2" w:rsidP="00B358D9">
            <w:pPr>
              <w:rPr>
                <w:rFonts w:ascii="Arial" w:hAnsi="Arial" w:cs="Arial"/>
                <w:b/>
                <w:sz w:val="24"/>
                <w:szCs w:val="24"/>
              </w:rPr>
            </w:pPr>
            <w:r>
              <w:rPr>
                <w:rFonts w:ascii="Arial" w:hAnsi="Arial" w:cs="Arial"/>
                <w:b/>
                <w:sz w:val="24"/>
                <w:szCs w:val="24"/>
              </w:rPr>
              <w:t>STRATEGIC ECONOMIC PLAN REFRESH</w:t>
            </w:r>
          </w:p>
          <w:p w:rsidR="009456CF" w:rsidRDefault="009456CF" w:rsidP="00B358D9">
            <w:pPr>
              <w:rPr>
                <w:rFonts w:ascii="Arial" w:hAnsi="Arial" w:cs="Arial"/>
                <w:b/>
                <w:sz w:val="24"/>
                <w:szCs w:val="24"/>
              </w:rPr>
            </w:pPr>
          </w:p>
          <w:p w:rsidR="00DC25D1" w:rsidRDefault="00726907" w:rsidP="00A260B2">
            <w:pPr>
              <w:rPr>
                <w:rFonts w:ascii="Arial" w:hAnsi="Arial" w:cs="Arial"/>
                <w:sz w:val="24"/>
                <w:szCs w:val="24"/>
              </w:rPr>
            </w:pPr>
            <w:r>
              <w:rPr>
                <w:rFonts w:ascii="Arial" w:hAnsi="Arial" w:cs="Arial"/>
                <w:sz w:val="24"/>
                <w:szCs w:val="24"/>
              </w:rPr>
              <w:t>The Board received a report providing an update on the current position with regard to the refresh of the Strategic Economic Plan (SEP).</w:t>
            </w:r>
          </w:p>
          <w:p w:rsidR="00726907" w:rsidRDefault="00726907" w:rsidP="00A260B2">
            <w:pPr>
              <w:rPr>
                <w:rFonts w:ascii="Arial" w:hAnsi="Arial" w:cs="Arial"/>
                <w:sz w:val="24"/>
                <w:szCs w:val="24"/>
              </w:rPr>
            </w:pPr>
          </w:p>
          <w:p w:rsidR="00726907" w:rsidRDefault="001175FE" w:rsidP="00A260B2">
            <w:pPr>
              <w:rPr>
                <w:rFonts w:ascii="Arial" w:hAnsi="Arial" w:cs="Arial"/>
                <w:sz w:val="24"/>
                <w:szCs w:val="24"/>
              </w:rPr>
            </w:pPr>
            <w:r>
              <w:rPr>
                <w:rFonts w:ascii="Arial" w:hAnsi="Arial" w:cs="Arial"/>
                <w:sz w:val="24"/>
                <w:szCs w:val="24"/>
              </w:rPr>
              <w:t xml:space="preserve">The refresh was set against a context of changes in the national and regional economy, significant progress against the delivery plan set out in the 2014 SEP and the changing policy environment since the General Election. A three phase process had been commissioned and first phase was now drawing to an end and a summary economic analysis and SEP progress review had been published. The SEP Refresh Advisory Group had met the previous week for an initial discussion and this group built on the advisory board which been involved in the development of the </w:t>
            </w:r>
            <w:r w:rsidR="00DD0B09">
              <w:rPr>
                <w:rFonts w:ascii="Arial" w:hAnsi="Arial" w:cs="Arial"/>
                <w:sz w:val="24"/>
                <w:szCs w:val="24"/>
              </w:rPr>
              <w:t>SEP in 2014.</w:t>
            </w:r>
          </w:p>
          <w:p w:rsidR="00DD0B09" w:rsidRDefault="00DD0B09" w:rsidP="00A260B2">
            <w:pPr>
              <w:rPr>
                <w:rFonts w:ascii="Arial" w:hAnsi="Arial" w:cs="Arial"/>
                <w:sz w:val="24"/>
                <w:szCs w:val="24"/>
              </w:rPr>
            </w:pPr>
          </w:p>
          <w:p w:rsidR="00DD0B09" w:rsidRDefault="00DD0B09" w:rsidP="00A260B2">
            <w:pPr>
              <w:rPr>
                <w:rFonts w:ascii="Arial" w:hAnsi="Arial" w:cs="Arial"/>
                <w:sz w:val="24"/>
                <w:szCs w:val="24"/>
              </w:rPr>
            </w:pPr>
            <w:r>
              <w:rPr>
                <w:rFonts w:ascii="Arial" w:hAnsi="Arial" w:cs="Arial"/>
                <w:sz w:val="24"/>
                <w:szCs w:val="24"/>
              </w:rPr>
              <w:t xml:space="preserve">Phase two of the process would be around engagement and a paper would be produced with an online survey requesting input. Partner </w:t>
            </w:r>
            <w:r w:rsidR="00CC2D21">
              <w:rPr>
                <w:rFonts w:ascii="Arial" w:hAnsi="Arial" w:cs="Arial"/>
                <w:sz w:val="24"/>
                <w:szCs w:val="24"/>
              </w:rPr>
              <w:t>organisations</w:t>
            </w:r>
            <w:r>
              <w:rPr>
                <w:rFonts w:ascii="Arial" w:hAnsi="Arial" w:cs="Arial"/>
                <w:sz w:val="24"/>
                <w:szCs w:val="24"/>
              </w:rPr>
              <w:t xml:space="preserve"> would be invited to discuss the paper and it would be the basis for engagement workshop(s) taking </w:t>
            </w:r>
            <w:r w:rsidR="00CC2D21">
              <w:rPr>
                <w:rFonts w:ascii="Arial" w:hAnsi="Arial" w:cs="Arial"/>
                <w:sz w:val="24"/>
                <w:szCs w:val="24"/>
              </w:rPr>
              <w:t>place</w:t>
            </w:r>
            <w:r>
              <w:rPr>
                <w:rFonts w:ascii="Arial" w:hAnsi="Arial" w:cs="Arial"/>
                <w:sz w:val="24"/>
                <w:szCs w:val="24"/>
              </w:rPr>
              <w:t xml:space="preserve"> after the EU referendum. </w:t>
            </w:r>
          </w:p>
          <w:p w:rsidR="00DD0B09" w:rsidRDefault="00DD0B09" w:rsidP="00A260B2">
            <w:pPr>
              <w:rPr>
                <w:rFonts w:ascii="Arial" w:hAnsi="Arial" w:cs="Arial"/>
                <w:sz w:val="24"/>
                <w:szCs w:val="24"/>
              </w:rPr>
            </w:pPr>
          </w:p>
          <w:p w:rsidR="00DD0B09" w:rsidRDefault="00DD0B09" w:rsidP="00A260B2">
            <w:pPr>
              <w:rPr>
                <w:rFonts w:ascii="Arial" w:hAnsi="Arial" w:cs="Arial"/>
                <w:sz w:val="24"/>
                <w:szCs w:val="24"/>
              </w:rPr>
            </w:pPr>
            <w:r>
              <w:rPr>
                <w:rFonts w:ascii="Arial" w:hAnsi="Arial" w:cs="Arial"/>
                <w:sz w:val="24"/>
                <w:szCs w:val="24"/>
              </w:rPr>
              <w:t xml:space="preserve">The key findings from the economic analysis and the progress review were highlighted </w:t>
            </w:r>
            <w:r w:rsidR="00CC2D21">
              <w:rPr>
                <w:rFonts w:ascii="Arial" w:hAnsi="Arial" w:cs="Arial"/>
                <w:sz w:val="24"/>
                <w:szCs w:val="24"/>
              </w:rPr>
              <w:t>within</w:t>
            </w:r>
            <w:r>
              <w:rPr>
                <w:rFonts w:ascii="Arial" w:hAnsi="Arial" w:cs="Arial"/>
                <w:sz w:val="24"/>
                <w:szCs w:val="24"/>
              </w:rPr>
              <w:t xml:space="preserve"> the report and the Board were asked to endorse that the SEP was taking the North East LEP area on the right journey and how it could be focused to take the region on the </w:t>
            </w:r>
            <w:r w:rsidR="00CC2D21">
              <w:rPr>
                <w:rFonts w:ascii="Arial" w:hAnsi="Arial" w:cs="Arial"/>
                <w:sz w:val="24"/>
                <w:szCs w:val="24"/>
              </w:rPr>
              <w:t>next</w:t>
            </w:r>
            <w:r>
              <w:rPr>
                <w:rFonts w:ascii="Arial" w:hAnsi="Arial" w:cs="Arial"/>
                <w:sz w:val="24"/>
                <w:szCs w:val="24"/>
              </w:rPr>
              <w:t xml:space="preserve"> part of the journey.</w:t>
            </w:r>
          </w:p>
          <w:p w:rsidR="00DD0B09" w:rsidRDefault="00DD0B09" w:rsidP="00A260B2">
            <w:pPr>
              <w:rPr>
                <w:rFonts w:ascii="Arial" w:hAnsi="Arial" w:cs="Arial"/>
                <w:sz w:val="24"/>
                <w:szCs w:val="24"/>
              </w:rPr>
            </w:pPr>
          </w:p>
          <w:p w:rsidR="00DD0B09" w:rsidRDefault="00E53D5E" w:rsidP="00A260B2">
            <w:pPr>
              <w:rPr>
                <w:rFonts w:ascii="Arial" w:hAnsi="Arial" w:cs="Arial"/>
                <w:sz w:val="24"/>
                <w:szCs w:val="24"/>
              </w:rPr>
            </w:pPr>
            <w:r>
              <w:rPr>
                <w:rFonts w:ascii="Arial" w:hAnsi="Arial" w:cs="Arial"/>
                <w:sz w:val="24"/>
                <w:szCs w:val="24"/>
              </w:rPr>
              <w:t xml:space="preserve">The Board were advised </w:t>
            </w:r>
            <w:r w:rsidR="00DD0B09">
              <w:rPr>
                <w:rFonts w:ascii="Arial" w:hAnsi="Arial" w:cs="Arial"/>
                <w:sz w:val="24"/>
                <w:szCs w:val="24"/>
              </w:rPr>
              <w:t xml:space="preserve">that local </w:t>
            </w:r>
            <w:r w:rsidR="00CC2D21">
              <w:rPr>
                <w:rFonts w:ascii="Arial" w:hAnsi="Arial" w:cs="Arial"/>
                <w:sz w:val="24"/>
                <w:szCs w:val="24"/>
              </w:rPr>
              <w:t>authorities</w:t>
            </w:r>
            <w:r w:rsidR="00DD0B09">
              <w:rPr>
                <w:rFonts w:ascii="Arial" w:hAnsi="Arial" w:cs="Arial"/>
                <w:sz w:val="24"/>
                <w:szCs w:val="24"/>
              </w:rPr>
              <w:t xml:space="preserve"> and key partners would b</w:t>
            </w:r>
            <w:r w:rsidR="00D36FE3">
              <w:rPr>
                <w:rFonts w:ascii="Arial" w:hAnsi="Arial" w:cs="Arial"/>
                <w:sz w:val="24"/>
                <w:szCs w:val="24"/>
              </w:rPr>
              <w:t>e invited to send information and</w:t>
            </w:r>
            <w:r w:rsidR="00DD0B09">
              <w:rPr>
                <w:rFonts w:ascii="Arial" w:hAnsi="Arial" w:cs="Arial"/>
                <w:sz w:val="24"/>
                <w:szCs w:val="24"/>
              </w:rPr>
              <w:t xml:space="preserve"> the LEP Executive Team would engage with them at the appropriate level to test the evidence in the </w:t>
            </w:r>
            <w:r w:rsidR="00CC2D21">
              <w:rPr>
                <w:rFonts w:ascii="Arial" w:hAnsi="Arial" w:cs="Arial"/>
                <w:sz w:val="24"/>
                <w:szCs w:val="24"/>
              </w:rPr>
              <w:t>economic</w:t>
            </w:r>
            <w:r w:rsidR="00DD0B09">
              <w:rPr>
                <w:rFonts w:ascii="Arial" w:hAnsi="Arial" w:cs="Arial"/>
                <w:sz w:val="24"/>
                <w:szCs w:val="24"/>
              </w:rPr>
              <w:t xml:space="preserve"> analysis.</w:t>
            </w:r>
            <w:r>
              <w:rPr>
                <w:rFonts w:ascii="Arial" w:hAnsi="Arial" w:cs="Arial"/>
                <w:sz w:val="24"/>
                <w:szCs w:val="24"/>
              </w:rPr>
              <w:t xml:space="preserve"> The </w:t>
            </w:r>
            <w:r w:rsidR="00461736">
              <w:rPr>
                <w:rFonts w:ascii="Arial" w:hAnsi="Arial" w:cs="Arial"/>
                <w:sz w:val="24"/>
                <w:szCs w:val="24"/>
              </w:rPr>
              <w:t>original SEP document had been influenced by Government guidelines and was accompanied by a delivery plan but going forward, the SEP was to be mor</w:t>
            </w:r>
            <w:r w:rsidR="00D36FE3">
              <w:rPr>
                <w:rFonts w:ascii="Arial" w:hAnsi="Arial" w:cs="Arial"/>
                <w:sz w:val="24"/>
                <w:szCs w:val="24"/>
              </w:rPr>
              <w:t>e of a strategy document which sh</w:t>
            </w:r>
            <w:r w:rsidR="00461736">
              <w:rPr>
                <w:rFonts w:ascii="Arial" w:hAnsi="Arial" w:cs="Arial"/>
                <w:sz w:val="24"/>
                <w:szCs w:val="24"/>
              </w:rPr>
              <w:t>ould be owned by all partners.</w:t>
            </w:r>
          </w:p>
          <w:p w:rsidR="00461736" w:rsidRDefault="00461736" w:rsidP="00A260B2">
            <w:pPr>
              <w:rPr>
                <w:rFonts w:ascii="Arial" w:hAnsi="Arial" w:cs="Arial"/>
                <w:sz w:val="24"/>
                <w:szCs w:val="24"/>
              </w:rPr>
            </w:pPr>
          </w:p>
          <w:p w:rsidR="001175FE" w:rsidRDefault="00E53D5E" w:rsidP="00A260B2">
            <w:pPr>
              <w:rPr>
                <w:rFonts w:ascii="Arial" w:hAnsi="Arial" w:cs="Arial"/>
                <w:sz w:val="24"/>
                <w:szCs w:val="24"/>
              </w:rPr>
            </w:pPr>
            <w:r>
              <w:rPr>
                <w:rFonts w:ascii="Arial" w:hAnsi="Arial" w:cs="Arial"/>
                <w:sz w:val="24"/>
                <w:szCs w:val="24"/>
              </w:rPr>
              <w:t xml:space="preserve">It was noted </w:t>
            </w:r>
            <w:r w:rsidR="00461736">
              <w:rPr>
                <w:rFonts w:ascii="Arial" w:hAnsi="Arial" w:cs="Arial"/>
                <w:sz w:val="24"/>
                <w:szCs w:val="24"/>
              </w:rPr>
              <w:t xml:space="preserve">that the NECA Economic Directors were also heavily </w:t>
            </w:r>
            <w:r w:rsidR="00CC2D21">
              <w:rPr>
                <w:rFonts w:ascii="Arial" w:hAnsi="Arial" w:cs="Arial"/>
                <w:sz w:val="24"/>
                <w:szCs w:val="24"/>
              </w:rPr>
              <w:t>involved</w:t>
            </w:r>
            <w:r w:rsidR="00461736">
              <w:rPr>
                <w:rFonts w:ascii="Arial" w:hAnsi="Arial" w:cs="Arial"/>
                <w:sz w:val="24"/>
                <w:szCs w:val="24"/>
              </w:rPr>
              <w:t xml:space="preserve"> in the refresh process and were meeting on a weekly basis to </w:t>
            </w:r>
            <w:r w:rsidR="00CC2D21">
              <w:rPr>
                <w:rFonts w:ascii="Arial" w:hAnsi="Arial" w:cs="Arial"/>
                <w:sz w:val="24"/>
                <w:szCs w:val="24"/>
              </w:rPr>
              <w:t>consider</w:t>
            </w:r>
            <w:r w:rsidR="00461736">
              <w:rPr>
                <w:rFonts w:ascii="Arial" w:hAnsi="Arial" w:cs="Arial"/>
                <w:sz w:val="24"/>
                <w:szCs w:val="24"/>
              </w:rPr>
              <w:t xml:space="preserve"> what had changed in terms of impact. </w:t>
            </w:r>
          </w:p>
          <w:p w:rsidR="00461736" w:rsidRDefault="00461736" w:rsidP="00A260B2">
            <w:pPr>
              <w:rPr>
                <w:rFonts w:ascii="Arial" w:hAnsi="Arial" w:cs="Arial"/>
                <w:sz w:val="24"/>
                <w:szCs w:val="24"/>
              </w:rPr>
            </w:pPr>
          </w:p>
          <w:p w:rsidR="00973036" w:rsidRPr="00973036" w:rsidRDefault="00973036" w:rsidP="00A260B2">
            <w:pPr>
              <w:rPr>
                <w:rFonts w:ascii="Arial" w:hAnsi="Arial" w:cs="Arial"/>
                <w:b/>
                <w:sz w:val="24"/>
                <w:szCs w:val="24"/>
              </w:rPr>
            </w:pPr>
            <w:r w:rsidRPr="00973036">
              <w:rPr>
                <w:rFonts w:ascii="Arial" w:hAnsi="Arial" w:cs="Arial"/>
                <w:b/>
                <w:sz w:val="24"/>
                <w:szCs w:val="24"/>
              </w:rPr>
              <w:t>The Board AGREED that: -</w:t>
            </w:r>
          </w:p>
          <w:p w:rsidR="00973036" w:rsidRPr="00973036" w:rsidRDefault="00973036" w:rsidP="00973036">
            <w:pPr>
              <w:tabs>
                <w:tab w:val="left" w:pos="1335"/>
              </w:tabs>
              <w:rPr>
                <w:rFonts w:ascii="Arial" w:hAnsi="Arial" w:cs="Arial"/>
                <w:b/>
                <w:sz w:val="24"/>
                <w:szCs w:val="24"/>
              </w:rPr>
            </w:pPr>
            <w:r w:rsidRPr="00973036">
              <w:rPr>
                <w:rFonts w:ascii="Arial" w:hAnsi="Arial" w:cs="Arial"/>
                <w:b/>
                <w:sz w:val="24"/>
                <w:szCs w:val="24"/>
              </w:rPr>
              <w:tab/>
            </w:r>
          </w:p>
          <w:p w:rsidR="00461736" w:rsidRPr="00973036" w:rsidRDefault="00973036" w:rsidP="00973036">
            <w:pPr>
              <w:pStyle w:val="ListParagraph"/>
              <w:numPr>
                <w:ilvl w:val="0"/>
                <w:numId w:val="27"/>
              </w:numPr>
              <w:ind w:left="720"/>
              <w:rPr>
                <w:rFonts w:ascii="Arial" w:hAnsi="Arial" w:cs="Arial"/>
                <w:b/>
                <w:sz w:val="24"/>
                <w:szCs w:val="24"/>
              </w:rPr>
            </w:pPr>
            <w:r w:rsidRPr="00973036">
              <w:rPr>
                <w:rFonts w:ascii="Arial" w:hAnsi="Arial" w:cs="Arial"/>
                <w:b/>
                <w:sz w:val="24"/>
                <w:szCs w:val="24"/>
              </w:rPr>
              <w:lastRenderedPageBreak/>
              <w:t xml:space="preserve">the progress made so far and the publication of the first two </w:t>
            </w:r>
            <w:r w:rsidR="00CC2D21" w:rsidRPr="00973036">
              <w:rPr>
                <w:rFonts w:ascii="Arial" w:hAnsi="Arial" w:cs="Arial"/>
                <w:b/>
                <w:sz w:val="24"/>
                <w:szCs w:val="24"/>
              </w:rPr>
              <w:t>documents</w:t>
            </w:r>
            <w:r w:rsidRPr="00973036">
              <w:rPr>
                <w:rFonts w:ascii="Arial" w:hAnsi="Arial" w:cs="Arial"/>
                <w:b/>
                <w:sz w:val="24"/>
                <w:szCs w:val="24"/>
              </w:rPr>
              <w:t>, (1) A Summary of the Economic Analysis and (2) Progress Review of the SEP be noted; and</w:t>
            </w:r>
          </w:p>
          <w:p w:rsidR="00973036" w:rsidRPr="00973036" w:rsidRDefault="00973036" w:rsidP="00973036">
            <w:pPr>
              <w:pStyle w:val="ListParagraph"/>
              <w:rPr>
                <w:rFonts w:ascii="Arial" w:hAnsi="Arial" w:cs="Arial"/>
                <w:b/>
                <w:sz w:val="24"/>
                <w:szCs w:val="24"/>
              </w:rPr>
            </w:pPr>
          </w:p>
          <w:p w:rsidR="00973036" w:rsidRPr="00973036" w:rsidRDefault="00973036" w:rsidP="00973036">
            <w:pPr>
              <w:pStyle w:val="ListParagraph"/>
              <w:numPr>
                <w:ilvl w:val="0"/>
                <w:numId w:val="27"/>
              </w:numPr>
              <w:ind w:left="720"/>
              <w:rPr>
                <w:rFonts w:ascii="Arial" w:hAnsi="Arial" w:cs="Arial"/>
                <w:b/>
                <w:sz w:val="24"/>
                <w:szCs w:val="24"/>
              </w:rPr>
            </w:pPr>
            <w:r w:rsidRPr="00973036">
              <w:rPr>
                <w:rFonts w:ascii="Arial" w:hAnsi="Arial" w:cs="Arial"/>
                <w:b/>
                <w:sz w:val="24"/>
                <w:szCs w:val="24"/>
              </w:rPr>
              <w:t>it be noted that the SEP refresh would form</w:t>
            </w:r>
            <w:r>
              <w:rPr>
                <w:rFonts w:ascii="Arial" w:hAnsi="Arial" w:cs="Arial"/>
                <w:b/>
                <w:sz w:val="24"/>
                <w:szCs w:val="24"/>
              </w:rPr>
              <w:t xml:space="preserve"> </w:t>
            </w:r>
            <w:r w:rsidRPr="00973036">
              <w:rPr>
                <w:rFonts w:ascii="Arial" w:hAnsi="Arial" w:cs="Arial"/>
                <w:b/>
                <w:sz w:val="24"/>
                <w:szCs w:val="24"/>
              </w:rPr>
              <w:t>part of a substantive item at a future meeting.</w:t>
            </w:r>
          </w:p>
          <w:p w:rsidR="00A260B2" w:rsidRDefault="00A260B2" w:rsidP="00973036">
            <w:pPr>
              <w:ind w:left="720" w:hanging="720"/>
              <w:rPr>
                <w:rFonts w:ascii="Arial" w:hAnsi="Arial" w:cs="Arial"/>
                <w:sz w:val="24"/>
                <w:szCs w:val="24"/>
              </w:rPr>
            </w:pPr>
          </w:p>
          <w:p w:rsidR="00A260B2" w:rsidRPr="00D91AA8" w:rsidRDefault="00A260B2" w:rsidP="00A260B2">
            <w:pPr>
              <w:rPr>
                <w:rFonts w:ascii="Arial" w:hAnsi="Arial" w:cs="Arial"/>
                <w:sz w:val="24"/>
                <w:szCs w:val="24"/>
              </w:rPr>
            </w:pPr>
          </w:p>
        </w:tc>
        <w:tc>
          <w:tcPr>
            <w:tcW w:w="1404" w:type="dxa"/>
            <w:tcBorders>
              <w:left w:val="single" w:sz="4" w:space="0" w:color="auto"/>
            </w:tcBorders>
            <w:shd w:val="clear" w:color="auto" w:fill="auto"/>
          </w:tcPr>
          <w:p w:rsidR="002840CC" w:rsidRDefault="002840CC" w:rsidP="00A61813">
            <w:pPr>
              <w:rPr>
                <w:rFonts w:ascii="Arial" w:eastAsia="Times New Roman" w:hAnsi="Arial" w:cs="Times New Roman"/>
                <w:b/>
                <w:sz w:val="24"/>
                <w:szCs w:val="24"/>
                <w:lang w:eastAsia="en-GB"/>
              </w:rPr>
            </w:pPr>
          </w:p>
          <w:p w:rsidR="00A260B2" w:rsidRPr="00A61813" w:rsidRDefault="00A260B2"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5.</w:t>
            </w:r>
          </w:p>
        </w:tc>
        <w:tc>
          <w:tcPr>
            <w:tcW w:w="8532" w:type="dxa"/>
            <w:tcBorders>
              <w:right w:val="single" w:sz="4" w:space="0" w:color="auto"/>
            </w:tcBorders>
            <w:shd w:val="clear" w:color="auto" w:fill="auto"/>
          </w:tcPr>
          <w:p w:rsidR="009456CF" w:rsidRDefault="00A260B2" w:rsidP="00B358D9">
            <w:pPr>
              <w:rPr>
                <w:rFonts w:ascii="Arial" w:hAnsi="Arial" w:cs="Arial"/>
                <w:b/>
                <w:sz w:val="24"/>
                <w:szCs w:val="24"/>
              </w:rPr>
            </w:pPr>
            <w:r>
              <w:rPr>
                <w:rFonts w:ascii="Arial" w:hAnsi="Arial" w:cs="Arial"/>
                <w:b/>
                <w:sz w:val="24"/>
                <w:szCs w:val="24"/>
              </w:rPr>
              <w:t>NORTH EAST LEP REVENUE AND CAPITAL OUTTURN 2015/2016</w:t>
            </w:r>
          </w:p>
          <w:p w:rsidR="009456CF" w:rsidRDefault="009456CF" w:rsidP="00B358D9">
            <w:pPr>
              <w:rPr>
                <w:rFonts w:ascii="Arial" w:hAnsi="Arial" w:cs="Arial"/>
                <w:b/>
                <w:sz w:val="24"/>
                <w:szCs w:val="24"/>
              </w:rPr>
            </w:pPr>
          </w:p>
          <w:p w:rsidR="006C3B67" w:rsidRDefault="006C3B67" w:rsidP="00B358D9">
            <w:pPr>
              <w:rPr>
                <w:rFonts w:ascii="Arial" w:hAnsi="Arial" w:cs="Arial"/>
                <w:sz w:val="24"/>
                <w:szCs w:val="24"/>
              </w:rPr>
            </w:pPr>
            <w:r>
              <w:rPr>
                <w:rFonts w:ascii="Arial" w:hAnsi="Arial" w:cs="Arial"/>
                <w:sz w:val="24"/>
                <w:szCs w:val="24"/>
              </w:rPr>
              <w:t xml:space="preserve">The Board received a report setting out the outturn position of the core Revenue Budget and the </w:t>
            </w:r>
            <w:r w:rsidR="00CE616C">
              <w:rPr>
                <w:rFonts w:ascii="Arial" w:hAnsi="Arial" w:cs="Arial"/>
                <w:sz w:val="24"/>
                <w:szCs w:val="24"/>
              </w:rPr>
              <w:t>C</w:t>
            </w:r>
            <w:r>
              <w:rPr>
                <w:rFonts w:ascii="Arial" w:hAnsi="Arial" w:cs="Arial"/>
                <w:sz w:val="24"/>
                <w:szCs w:val="24"/>
              </w:rPr>
              <w:t xml:space="preserve">apital </w:t>
            </w:r>
            <w:r w:rsidR="00CE616C">
              <w:rPr>
                <w:rFonts w:ascii="Arial" w:hAnsi="Arial" w:cs="Arial"/>
                <w:sz w:val="24"/>
                <w:szCs w:val="24"/>
              </w:rPr>
              <w:t>P</w:t>
            </w:r>
            <w:r>
              <w:rPr>
                <w:rFonts w:ascii="Arial" w:hAnsi="Arial" w:cs="Arial"/>
                <w:sz w:val="24"/>
                <w:szCs w:val="24"/>
              </w:rPr>
              <w:t>rogramme for 2015/2016.</w:t>
            </w:r>
          </w:p>
          <w:p w:rsidR="006C3B67" w:rsidRDefault="006C3B67" w:rsidP="00B358D9">
            <w:pPr>
              <w:rPr>
                <w:rFonts w:ascii="Arial" w:hAnsi="Arial" w:cs="Arial"/>
                <w:sz w:val="24"/>
                <w:szCs w:val="24"/>
              </w:rPr>
            </w:pPr>
          </w:p>
          <w:p w:rsidR="00B2150C" w:rsidRDefault="006C3B67" w:rsidP="00B358D9">
            <w:pPr>
              <w:rPr>
                <w:rFonts w:ascii="Arial" w:hAnsi="Arial" w:cs="Arial"/>
                <w:sz w:val="24"/>
                <w:szCs w:val="24"/>
              </w:rPr>
            </w:pPr>
            <w:r>
              <w:rPr>
                <w:rFonts w:ascii="Arial" w:hAnsi="Arial" w:cs="Arial"/>
                <w:sz w:val="24"/>
                <w:szCs w:val="24"/>
              </w:rPr>
              <w:t>The LEP core budget covered mainstream operational activity and the management of the Local Growth Fund programme. Table 1 of the report detailed the expenditure under the budget headings of Employees, Premises, Communications, Transport LGF Monitoring, Other Operational Costs and Inward Investme</w:t>
            </w:r>
            <w:r w:rsidR="00B2150C">
              <w:rPr>
                <w:rFonts w:ascii="Arial" w:hAnsi="Arial" w:cs="Arial"/>
                <w:sz w:val="24"/>
                <w:szCs w:val="24"/>
              </w:rPr>
              <w:t>nt Contribution. There was a net</w:t>
            </w:r>
            <w:r>
              <w:rPr>
                <w:rFonts w:ascii="Arial" w:hAnsi="Arial" w:cs="Arial"/>
                <w:sz w:val="24"/>
                <w:szCs w:val="24"/>
              </w:rPr>
              <w:t xml:space="preserve"> underspend to be carried forward into 2016/2017.</w:t>
            </w:r>
            <w:r w:rsidR="00B2150C">
              <w:rPr>
                <w:rFonts w:ascii="Arial" w:hAnsi="Arial" w:cs="Arial"/>
                <w:sz w:val="24"/>
                <w:szCs w:val="24"/>
              </w:rPr>
              <w:t xml:space="preserve"> The underspend was </w:t>
            </w:r>
            <w:r w:rsidR="0025772A">
              <w:rPr>
                <w:rFonts w:ascii="Arial" w:hAnsi="Arial" w:cs="Arial"/>
                <w:sz w:val="24"/>
                <w:szCs w:val="24"/>
              </w:rPr>
              <w:t>linked</w:t>
            </w:r>
            <w:r w:rsidR="00B2150C">
              <w:rPr>
                <w:rFonts w:ascii="Arial" w:hAnsi="Arial" w:cs="Arial"/>
                <w:sz w:val="24"/>
                <w:szCs w:val="24"/>
              </w:rPr>
              <w:t xml:space="preserve"> to lower staff costs; a lower contribution for inward investment activity being required this year; and the continuation of the Schools Challenge into 2016/2017.</w:t>
            </w:r>
          </w:p>
          <w:p w:rsidR="00B2150C" w:rsidRDefault="00B2150C" w:rsidP="00B358D9">
            <w:pPr>
              <w:rPr>
                <w:rFonts w:ascii="Arial" w:hAnsi="Arial" w:cs="Arial"/>
                <w:sz w:val="24"/>
                <w:szCs w:val="24"/>
              </w:rPr>
            </w:pPr>
          </w:p>
          <w:p w:rsidR="00B2150C" w:rsidRDefault="00B2150C" w:rsidP="00B358D9">
            <w:pPr>
              <w:rPr>
                <w:rFonts w:ascii="Arial" w:hAnsi="Arial" w:cs="Arial"/>
                <w:sz w:val="24"/>
                <w:szCs w:val="24"/>
              </w:rPr>
            </w:pPr>
            <w:r>
              <w:rPr>
                <w:rFonts w:ascii="Arial" w:hAnsi="Arial" w:cs="Arial"/>
                <w:sz w:val="24"/>
                <w:szCs w:val="24"/>
              </w:rPr>
              <w:t>Income had been received in line with projections and the drawdown from the Local Growth Fund was marginally lower than forecast and it had not been necessary to draw down any Enterprise Zone Business R</w:t>
            </w:r>
            <w:r w:rsidR="00E53D5E">
              <w:rPr>
                <w:rFonts w:ascii="Arial" w:hAnsi="Arial" w:cs="Arial"/>
                <w:sz w:val="24"/>
                <w:szCs w:val="24"/>
              </w:rPr>
              <w:t>ates growth receipts. The Board were</w:t>
            </w:r>
            <w:r>
              <w:rPr>
                <w:rFonts w:ascii="Arial" w:hAnsi="Arial" w:cs="Arial"/>
                <w:sz w:val="24"/>
                <w:szCs w:val="24"/>
              </w:rPr>
              <w:t xml:space="preserve"> advised that the revenue balance was relatively healthy and reserves had been allocated to ongoing activity.</w:t>
            </w:r>
          </w:p>
          <w:p w:rsidR="00B2150C" w:rsidRDefault="00B2150C" w:rsidP="00B358D9">
            <w:pPr>
              <w:rPr>
                <w:rFonts w:ascii="Arial" w:hAnsi="Arial" w:cs="Arial"/>
                <w:sz w:val="24"/>
                <w:szCs w:val="24"/>
              </w:rPr>
            </w:pPr>
          </w:p>
          <w:p w:rsidR="006C3B67" w:rsidRDefault="00CE616C" w:rsidP="00B358D9">
            <w:pPr>
              <w:rPr>
                <w:rFonts w:ascii="Arial" w:hAnsi="Arial" w:cs="Arial"/>
                <w:sz w:val="24"/>
                <w:szCs w:val="24"/>
              </w:rPr>
            </w:pPr>
            <w:r>
              <w:rPr>
                <w:rFonts w:ascii="Arial" w:hAnsi="Arial" w:cs="Arial"/>
                <w:sz w:val="24"/>
                <w:szCs w:val="24"/>
              </w:rPr>
              <w:t xml:space="preserve">With regard to the Capital Programme, it was highlighted that this comprised the North East Investment Fund (NEIF) and monies from the Local Growth Fund programme. The initial £55m NEIF had been fully allocated and projects were making repayments which allowed the fund to be recycled and used to support new projects. </w:t>
            </w:r>
            <w:r w:rsidR="00D36FE3">
              <w:rPr>
                <w:rFonts w:ascii="Arial" w:hAnsi="Arial" w:cs="Arial"/>
                <w:sz w:val="24"/>
                <w:szCs w:val="24"/>
              </w:rPr>
              <w:t xml:space="preserve">Over </w:t>
            </w:r>
            <w:r>
              <w:rPr>
                <w:rFonts w:ascii="Arial" w:hAnsi="Arial" w:cs="Arial"/>
                <w:sz w:val="24"/>
                <w:szCs w:val="24"/>
              </w:rPr>
              <w:t>£51m of activity had been delivered from the Local Growth Fund allocation of £53.91m and this was seen as excellent performance by the Government</w:t>
            </w:r>
            <w:r w:rsidR="00D36FE3">
              <w:rPr>
                <w:rFonts w:ascii="Arial" w:hAnsi="Arial" w:cs="Arial"/>
                <w:sz w:val="24"/>
                <w:szCs w:val="24"/>
              </w:rPr>
              <w:t xml:space="preserve"> at over 95% spend</w:t>
            </w:r>
            <w:r>
              <w:rPr>
                <w:rFonts w:ascii="Arial" w:hAnsi="Arial" w:cs="Arial"/>
                <w:sz w:val="24"/>
                <w:szCs w:val="24"/>
              </w:rPr>
              <w:t xml:space="preserve">. </w:t>
            </w:r>
          </w:p>
          <w:p w:rsidR="009456CF" w:rsidRPr="006C3B67" w:rsidRDefault="006C3B67" w:rsidP="00B358D9">
            <w:pPr>
              <w:rPr>
                <w:rFonts w:ascii="Arial" w:hAnsi="Arial" w:cs="Arial"/>
                <w:sz w:val="24"/>
                <w:szCs w:val="24"/>
              </w:rPr>
            </w:pPr>
            <w:r>
              <w:rPr>
                <w:rFonts w:ascii="Arial" w:hAnsi="Arial" w:cs="Arial"/>
                <w:sz w:val="24"/>
                <w:szCs w:val="24"/>
              </w:rPr>
              <w:t xml:space="preserve">  </w:t>
            </w:r>
          </w:p>
          <w:p w:rsidR="00BB143A" w:rsidRDefault="00CE616C" w:rsidP="00B358D9">
            <w:pPr>
              <w:rPr>
                <w:rFonts w:ascii="Arial" w:hAnsi="Arial" w:cs="Arial"/>
                <w:sz w:val="24"/>
                <w:szCs w:val="24"/>
              </w:rPr>
            </w:pPr>
            <w:r>
              <w:rPr>
                <w:rFonts w:ascii="Arial" w:hAnsi="Arial" w:cs="Arial"/>
                <w:sz w:val="24"/>
                <w:szCs w:val="24"/>
              </w:rPr>
              <w:t xml:space="preserve">Overall, the picture was positive with the LEP operating within budget and having spent more capital than expected. The Chair </w:t>
            </w:r>
            <w:r w:rsidR="00323BC1">
              <w:rPr>
                <w:rFonts w:ascii="Arial" w:hAnsi="Arial" w:cs="Arial"/>
                <w:sz w:val="24"/>
                <w:szCs w:val="24"/>
              </w:rPr>
              <w:t xml:space="preserve">welcomed the good performance for both the revenue and capital budget, with one caveat that there had been an underspend in some areas where </w:t>
            </w:r>
            <w:r w:rsidR="00D36FE3">
              <w:rPr>
                <w:rFonts w:ascii="Arial" w:hAnsi="Arial" w:cs="Arial"/>
                <w:sz w:val="24"/>
                <w:szCs w:val="24"/>
              </w:rPr>
              <w:t>it may</w:t>
            </w:r>
            <w:r w:rsidR="00323BC1">
              <w:rPr>
                <w:rFonts w:ascii="Arial" w:hAnsi="Arial" w:cs="Arial"/>
                <w:sz w:val="24"/>
                <w:szCs w:val="24"/>
              </w:rPr>
              <w:t xml:space="preserve"> have been preferable to defray the allocated budget.</w:t>
            </w:r>
          </w:p>
          <w:p w:rsidR="00323BC1" w:rsidRDefault="00323BC1" w:rsidP="00B358D9">
            <w:pPr>
              <w:rPr>
                <w:rFonts w:ascii="Arial" w:hAnsi="Arial" w:cs="Arial"/>
                <w:sz w:val="24"/>
                <w:szCs w:val="24"/>
              </w:rPr>
            </w:pPr>
          </w:p>
          <w:p w:rsidR="00323BC1" w:rsidRDefault="00323BC1" w:rsidP="00B358D9">
            <w:pPr>
              <w:rPr>
                <w:rFonts w:ascii="Arial" w:hAnsi="Arial" w:cs="Arial"/>
                <w:b/>
                <w:sz w:val="24"/>
                <w:szCs w:val="24"/>
              </w:rPr>
            </w:pPr>
            <w:r w:rsidRPr="00323BC1">
              <w:rPr>
                <w:rFonts w:ascii="Arial" w:hAnsi="Arial" w:cs="Arial"/>
                <w:b/>
                <w:sz w:val="24"/>
                <w:szCs w:val="24"/>
              </w:rPr>
              <w:t>The Board AGR</w:t>
            </w:r>
            <w:r>
              <w:rPr>
                <w:rFonts w:ascii="Arial" w:hAnsi="Arial" w:cs="Arial"/>
                <w:b/>
                <w:sz w:val="24"/>
                <w:szCs w:val="24"/>
              </w:rPr>
              <w:t>E</w:t>
            </w:r>
            <w:r w:rsidRPr="00323BC1">
              <w:rPr>
                <w:rFonts w:ascii="Arial" w:hAnsi="Arial" w:cs="Arial"/>
                <w:b/>
                <w:sz w:val="24"/>
                <w:szCs w:val="24"/>
              </w:rPr>
              <w:t>ED that the outturn position for 2015/2016 be noted.</w:t>
            </w:r>
          </w:p>
          <w:p w:rsidR="00323BC1" w:rsidRPr="00323BC1" w:rsidRDefault="00323BC1" w:rsidP="00B358D9">
            <w:pPr>
              <w:rPr>
                <w:rFonts w:ascii="Arial" w:hAnsi="Arial" w:cs="Arial"/>
                <w:b/>
                <w:sz w:val="24"/>
                <w:szCs w:val="24"/>
              </w:rPr>
            </w:pPr>
          </w:p>
          <w:p w:rsidR="009456CF" w:rsidRDefault="009456CF" w:rsidP="00B358D9">
            <w:pPr>
              <w:rPr>
                <w:rFonts w:ascii="Arial" w:hAnsi="Arial" w:cs="Arial"/>
                <w:b/>
                <w:sz w:val="24"/>
                <w:szCs w:val="24"/>
              </w:rPr>
            </w:pP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6.</w:t>
            </w:r>
          </w:p>
        </w:tc>
        <w:tc>
          <w:tcPr>
            <w:tcW w:w="8532" w:type="dxa"/>
            <w:tcBorders>
              <w:right w:val="single" w:sz="4" w:space="0" w:color="auto"/>
            </w:tcBorders>
            <w:shd w:val="clear" w:color="auto" w:fill="auto"/>
          </w:tcPr>
          <w:p w:rsidR="009456CF" w:rsidRDefault="00A260B2" w:rsidP="00B358D9">
            <w:pPr>
              <w:rPr>
                <w:rFonts w:ascii="Arial" w:hAnsi="Arial" w:cs="Arial"/>
                <w:b/>
                <w:sz w:val="24"/>
                <w:szCs w:val="24"/>
              </w:rPr>
            </w:pPr>
            <w:r>
              <w:rPr>
                <w:rFonts w:ascii="Arial" w:hAnsi="Arial" w:cs="Arial"/>
                <w:b/>
                <w:sz w:val="24"/>
                <w:szCs w:val="24"/>
              </w:rPr>
              <w:t>DELIVERY PLAN</w:t>
            </w:r>
          </w:p>
          <w:p w:rsidR="009456CF" w:rsidRDefault="009456CF" w:rsidP="00B358D9">
            <w:pPr>
              <w:rPr>
                <w:rFonts w:ascii="Arial" w:hAnsi="Arial" w:cs="Arial"/>
                <w:b/>
                <w:sz w:val="24"/>
                <w:szCs w:val="24"/>
              </w:rPr>
            </w:pPr>
          </w:p>
          <w:p w:rsidR="00BB143A" w:rsidRDefault="006B26AD" w:rsidP="00E53D5E">
            <w:pPr>
              <w:rPr>
                <w:rFonts w:ascii="Arial" w:hAnsi="Arial" w:cs="Arial"/>
                <w:b/>
                <w:sz w:val="24"/>
                <w:szCs w:val="24"/>
              </w:rPr>
            </w:pPr>
            <w:r>
              <w:rPr>
                <w:rFonts w:ascii="Arial" w:hAnsi="Arial" w:cs="Arial"/>
                <w:b/>
                <w:sz w:val="24"/>
                <w:szCs w:val="24"/>
              </w:rPr>
              <w:t>This report was strictly confidential as it contained commercial information relating to the financial or business affairs of a particular person or organisation an</w:t>
            </w:r>
            <w:r w:rsidR="00E53D5E">
              <w:rPr>
                <w:rFonts w:ascii="Arial" w:hAnsi="Arial" w:cs="Arial"/>
                <w:b/>
                <w:sz w:val="24"/>
                <w:szCs w:val="24"/>
              </w:rPr>
              <w:t>d was not for wider circulation.</w:t>
            </w: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7.</w:t>
            </w:r>
          </w:p>
        </w:tc>
        <w:tc>
          <w:tcPr>
            <w:tcW w:w="8532" w:type="dxa"/>
            <w:tcBorders>
              <w:right w:val="single" w:sz="4" w:space="0" w:color="auto"/>
            </w:tcBorders>
            <w:shd w:val="clear" w:color="auto" w:fill="auto"/>
          </w:tcPr>
          <w:p w:rsidR="009456CF" w:rsidRDefault="00A260B2" w:rsidP="00B358D9">
            <w:pPr>
              <w:rPr>
                <w:rFonts w:ascii="Arial" w:hAnsi="Arial" w:cs="Arial"/>
                <w:b/>
                <w:sz w:val="24"/>
                <w:szCs w:val="24"/>
              </w:rPr>
            </w:pPr>
            <w:r>
              <w:rPr>
                <w:rFonts w:ascii="Arial" w:hAnsi="Arial" w:cs="Arial"/>
                <w:b/>
                <w:sz w:val="24"/>
                <w:szCs w:val="24"/>
              </w:rPr>
              <w:t>ENTERPRISE ZONE UPDATE AND INVESTMENT STRATEGY REPORT</w:t>
            </w:r>
          </w:p>
          <w:p w:rsidR="009456CF" w:rsidRDefault="009456CF" w:rsidP="00B358D9">
            <w:pPr>
              <w:rPr>
                <w:rFonts w:ascii="Arial" w:hAnsi="Arial" w:cs="Arial"/>
                <w:b/>
                <w:sz w:val="24"/>
                <w:szCs w:val="24"/>
              </w:rPr>
            </w:pPr>
          </w:p>
          <w:p w:rsidR="00333A14" w:rsidRDefault="00333A14" w:rsidP="00333A14">
            <w:pPr>
              <w:rPr>
                <w:rFonts w:ascii="Arial" w:hAnsi="Arial" w:cs="Arial"/>
                <w:sz w:val="24"/>
                <w:szCs w:val="20"/>
              </w:rPr>
            </w:pPr>
            <w:r>
              <w:rPr>
                <w:rFonts w:ascii="Arial" w:hAnsi="Arial" w:cs="Arial"/>
                <w:sz w:val="24"/>
                <w:szCs w:val="20"/>
              </w:rPr>
              <w:t>The Board received a report providing an update on the performance and progress of the Enterprise Zone sites since the Board received an update on 23 July 2015.</w:t>
            </w:r>
          </w:p>
          <w:p w:rsidR="002E7403" w:rsidRDefault="002E7403" w:rsidP="00333A14">
            <w:pPr>
              <w:rPr>
                <w:rFonts w:ascii="Arial" w:hAnsi="Arial" w:cs="Arial"/>
                <w:sz w:val="24"/>
                <w:szCs w:val="20"/>
              </w:rPr>
            </w:pPr>
          </w:p>
          <w:p w:rsidR="002E7403" w:rsidRDefault="00C355C3" w:rsidP="00333A14">
            <w:pPr>
              <w:rPr>
                <w:rFonts w:ascii="Arial" w:hAnsi="Arial" w:cs="Arial"/>
                <w:sz w:val="24"/>
                <w:szCs w:val="20"/>
              </w:rPr>
            </w:pPr>
            <w:r>
              <w:rPr>
                <w:rFonts w:ascii="Arial" w:hAnsi="Arial" w:cs="Arial"/>
                <w:sz w:val="24"/>
                <w:szCs w:val="20"/>
              </w:rPr>
              <w:t>The report set</w:t>
            </w:r>
            <w:r w:rsidR="002E7403">
              <w:rPr>
                <w:rFonts w:ascii="Arial" w:hAnsi="Arial" w:cs="Arial"/>
                <w:sz w:val="24"/>
                <w:szCs w:val="20"/>
              </w:rPr>
              <w:t xml:space="preserve"> out the progress to date of the initial round one sites and information on the recently anno</w:t>
            </w:r>
            <w:r>
              <w:rPr>
                <w:rFonts w:ascii="Arial" w:hAnsi="Arial" w:cs="Arial"/>
                <w:sz w:val="24"/>
                <w:szCs w:val="20"/>
              </w:rPr>
              <w:t>unced round two sites. The LEP Executive T</w:t>
            </w:r>
            <w:r w:rsidR="002E7403">
              <w:rPr>
                <w:rFonts w:ascii="Arial" w:hAnsi="Arial" w:cs="Arial"/>
                <w:sz w:val="24"/>
                <w:szCs w:val="20"/>
              </w:rPr>
              <w:t xml:space="preserve">eam would be working through the round one sites again to look at the investment strategy and to </w:t>
            </w:r>
            <w:r w:rsidR="00FF1614">
              <w:rPr>
                <w:rFonts w:ascii="Arial" w:hAnsi="Arial" w:cs="Arial"/>
                <w:sz w:val="24"/>
                <w:szCs w:val="20"/>
              </w:rPr>
              <w:t>repopulate</w:t>
            </w:r>
            <w:r w:rsidR="002E7403">
              <w:rPr>
                <w:rFonts w:ascii="Arial" w:hAnsi="Arial" w:cs="Arial"/>
                <w:sz w:val="24"/>
                <w:szCs w:val="20"/>
              </w:rPr>
              <w:t xml:space="preserve"> the financial model. There would be a large amount of activity for the round two sites prior to April 2017 including the confirmation of the final boundaries for the sites and the preparation of investment plans.</w:t>
            </w:r>
          </w:p>
          <w:p w:rsidR="00E53D5E" w:rsidRPr="00333A14" w:rsidRDefault="00E53D5E" w:rsidP="00333A14">
            <w:pPr>
              <w:rPr>
                <w:rFonts w:ascii="Arial" w:hAnsi="Arial" w:cs="Arial"/>
                <w:sz w:val="24"/>
                <w:szCs w:val="20"/>
              </w:rPr>
            </w:pPr>
          </w:p>
          <w:p w:rsidR="002E7403" w:rsidRDefault="002E7403" w:rsidP="00333A14">
            <w:pPr>
              <w:rPr>
                <w:rFonts w:ascii="Arial" w:hAnsi="Arial" w:cs="Arial"/>
                <w:sz w:val="24"/>
                <w:szCs w:val="20"/>
              </w:rPr>
            </w:pPr>
            <w:r>
              <w:rPr>
                <w:rFonts w:ascii="Arial" w:hAnsi="Arial" w:cs="Arial"/>
                <w:sz w:val="24"/>
                <w:szCs w:val="20"/>
              </w:rPr>
              <w:t>With regard to the f</w:t>
            </w:r>
            <w:r w:rsidR="00333A14" w:rsidRPr="002E7403">
              <w:rPr>
                <w:rFonts w:ascii="Arial" w:hAnsi="Arial" w:cs="Arial"/>
                <w:sz w:val="24"/>
                <w:szCs w:val="20"/>
              </w:rPr>
              <w:t>inancial performance</w:t>
            </w:r>
            <w:r>
              <w:rPr>
                <w:rFonts w:ascii="Arial" w:hAnsi="Arial" w:cs="Arial"/>
                <w:sz w:val="24"/>
                <w:szCs w:val="20"/>
              </w:rPr>
              <w:t xml:space="preserve">, </w:t>
            </w:r>
            <w:r w:rsidR="00E53D5E">
              <w:rPr>
                <w:rFonts w:ascii="Arial" w:hAnsi="Arial" w:cs="Arial"/>
                <w:sz w:val="24"/>
                <w:szCs w:val="20"/>
              </w:rPr>
              <w:t>it was noted that</w:t>
            </w:r>
            <w:r>
              <w:rPr>
                <w:rFonts w:ascii="Arial" w:hAnsi="Arial" w:cs="Arial"/>
                <w:sz w:val="24"/>
                <w:szCs w:val="20"/>
              </w:rPr>
              <w:t xml:space="preserve"> ac</w:t>
            </w:r>
            <w:r w:rsidR="00333A14" w:rsidRPr="002E7403">
              <w:rPr>
                <w:rFonts w:ascii="Arial" w:hAnsi="Arial" w:cs="Arial"/>
                <w:sz w:val="24"/>
                <w:szCs w:val="20"/>
              </w:rPr>
              <w:t>tivity on the</w:t>
            </w:r>
            <w:r>
              <w:rPr>
                <w:rFonts w:ascii="Arial" w:hAnsi="Arial" w:cs="Arial"/>
                <w:sz w:val="24"/>
                <w:szCs w:val="20"/>
              </w:rPr>
              <w:t xml:space="preserve"> ground could have been faster and he directed Board Members to the table </w:t>
            </w:r>
            <w:r w:rsidR="00FF1614">
              <w:rPr>
                <w:rFonts w:ascii="Arial" w:hAnsi="Arial" w:cs="Arial"/>
                <w:sz w:val="24"/>
                <w:szCs w:val="20"/>
              </w:rPr>
              <w:t>at</w:t>
            </w:r>
            <w:r>
              <w:rPr>
                <w:rFonts w:ascii="Arial" w:hAnsi="Arial" w:cs="Arial"/>
                <w:sz w:val="24"/>
                <w:szCs w:val="20"/>
              </w:rPr>
              <w:t xml:space="preserve"> </w:t>
            </w:r>
            <w:r w:rsidR="00FF1614">
              <w:rPr>
                <w:rFonts w:ascii="Arial" w:hAnsi="Arial" w:cs="Arial"/>
                <w:sz w:val="24"/>
                <w:szCs w:val="20"/>
              </w:rPr>
              <w:t>paragraph</w:t>
            </w:r>
            <w:r>
              <w:rPr>
                <w:rFonts w:ascii="Arial" w:hAnsi="Arial" w:cs="Arial"/>
                <w:sz w:val="24"/>
                <w:szCs w:val="20"/>
              </w:rPr>
              <w:t xml:space="preserve"> </w:t>
            </w:r>
            <w:r w:rsidR="00333A14" w:rsidRPr="002E7403">
              <w:rPr>
                <w:rFonts w:ascii="Arial" w:hAnsi="Arial" w:cs="Arial"/>
                <w:sz w:val="24"/>
                <w:szCs w:val="20"/>
              </w:rPr>
              <w:t xml:space="preserve">5.1 </w:t>
            </w:r>
            <w:r>
              <w:rPr>
                <w:rFonts w:ascii="Arial" w:hAnsi="Arial" w:cs="Arial"/>
                <w:sz w:val="24"/>
                <w:szCs w:val="20"/>
              </w:rPr>
              <w:t xml:space="preserve">which showed business rate growth income </w:t>
            </w:r>
            <w:r w:rsidR="00E53D5E">
              <w:rPr>
                <w:rFonts w:ascii="Arial" w:hAnsi="Arial" w:cs="Arial"/>
                <w:sz w:val="24"/>
                <w:szCs w:val="20"/>
              </w:rPr>
              <w:t>had been</w:t>
            </w:r>
            <w:r>
              <w:rPr>
                <w:rFonts w:ascii="Arial" w:hAnsi="Arial" w:cs="Arial"/>
                <w:sz w:val="24"/>
                <w:szCs w:val="20"/>
              </w:rPr>
              <w:t xml:space="preserve"> less than the DTZ projection</w:t>
            </w:r>
            <w:r w:rsidR="00E53D5E">
              <w:rPr>
                <w:rFonts w:ascii="Arial" w:hAnsi="Arial" w:cs="Arial"/>
                <w:sz w:val="24"/>
                <w:szCs w:val="20"/>
              </w:rPr>
              <w:t>.</w:t>
            </w:r>
            <w:r>
              <w:rPr>
                <w:rFonts w:ascii="Arial" w:hAnsi="Arial" w:cs="Arial"/>
                <w:sz w:val="24"/>
                <w:szCs w:val="20"/>
              </w:rPr>
              <w:t xml:space="preserve"> The original </w:t>
            </w:r>
            <w:r w:rsidR="00FF1614">
              <w:rPr>
                <w:rFonts w:ascii="Arial" w:hAnsi="Arial" w:cs="Arial"/>
                <w:sz w:val="24"/>
                <w:szCs w:val="20"/>
              </w:rPr>
              <w:t xml:space="preserve">projection </w:t>
            </w:r>
            <w:r w:rsidR="00FF1614" w:rsidRPr="002E7403">
              <w:rPr>
                <w:rFonts w:ascii="Arial" w:hAnsi="Arial" w:cs="Arial"/>
                <w:sz w:val="24"/>
                <w:szCs w:val="20"/>
              </w:rPr>
              <w:t>had</w:t>
            </w:r>
            <w:r w:rsidR="00333A14" w:rsidRPr="002E7403">
              <w:rPr>
                <w:rFonts w:ascii="Arial" w:hAnsi="Arial" w:cs="Arial"/>
                <w:sz w:val="24"/>
                <w:szCs w:val="20"/>
              </w:rPr>
              <w:t xml:space="preserve"> included </w:t>
            </w:r>
            <w:r>
              <w:rPr>
                <w:rFonts w:ascii="Arial" w:hAnsi="Arial" w:cs="Arial"/>
                <w:sz w:val="24"/>
                <w:szCs w:val="20"/>
              </w:rPr>
              <w:t xml:space="preserve">the second </w:t>
            </w:r>
            <w:r w:rsidR="00333A14" w:rsidRPr="002E7403">
              <w:rPr>
                <w:rFonts w:ascii="Arial" w:hAnsi="Arial" w:cs="Arial"/>
                <w:sz w:val="24"/>
                <w:szCs w:val="20"/>
              </w:rPr>
              <w:t xml:space="preserve">Vantec </w:t>
            </w:r>
            <w:r>
              <w:rPr>
                <w:rFonts w:ascii="Arial" w:hAnsi="Arial" w:cs="Arial"/>
                <w:sz w:val="24"/>
                <w:szCs w:val="20"/>
              </w:rPr>
              <w:t xml:space="preserve">building </w:t>
            </w:r>
            <w:r w:rsidR="00333A14" w:rsidRPr="002E7403">
              <w:rPr>
                <w:rFonts w:ascii="Arial" w:hAnsi="Arial" w:cs="Arial"/>
                <w:sz w:val="24"/>
                <w:szCs w:val="20"/>
              </w:rPr>
              <w:t xml:space="preserve">which </w:t>
            </w:r>
            <w:r>
              <w:rPr>
                <w:rFonts w:ascii="Arial" w:hAnsi="Arial" w:cs="Arial"/>
                <w:sz w:val="24"/>
                <w:szCs w:val="20"/>
              </w:rPr>
              <w:t>had in fact been built adjacent to the Enterprise Zone.</w:t>
            </w:r>
            <w:r w:rsidR="00333A14" w:rsidRPr="002E7403">
              <w:rPr>
                <w:rFonts w:ascii="Arial" w:hAnsi="Arial" w:cs="Arial"/>
                <w:sz w:val="24"/>
                <w:szCs w:val="20"/>
              </w:rPr>
              <w:t xml:space="preserve"> </w:t>
            </w:r>
            <w:r w:rsidR="00FF1614">
              <w:rPr>
                <w:rFonts w:ascii="Arial" w:hAnsi="Arial" w:cs="Arial"/>
                <w:sz w:val="24"/>
                <w:szCs w:val="20"/>
              </w:rPr>
              <w:t>It was</w:t>
            </w:r>
            <w:r w:rsidR="00E53D5E">
              <w:rPr>
                <w:rFonts w:ascii="Arial" w:hAnsi="Arial" w:cs="Arial"/>
                <w:sz w:val="24"/>
                <w:szCs w:val="20"/>
              </w:rPr>
              <w:t xml:space="preserve"> also </w:t>
            </w:r>
            <w:r w:rsidR="00FF1614">
              <w:rPr>
                <w:rFonts w:ascii="Arial" w:hAnsi="Arial" w:cs="Arial"/>
                <w:sz w:val="24"/>
                <w:szCs w:val="20"/>
              </w:rPr>
              <w:t>highlighted that revenue costs had been s</w:t>
            </w:r>
            <w:r w:rsidR="00FF1614" w:rsidRPr="002E7403">
              <w:rPr>
                <w:rFonts w:ascii="Arial" w:hAnsi="Arial" w:cs="Arial"/>
                <w:sz w:val="24"/>
                <w:szCs w:val="20"/>
              </w:rPr>
              <w:t xml:space="preserve">ubstantially less than </w:t>
            </w:r>
            <w:r w:rsidR="00E53D5E">
              <w:rPr>
                <w:rFonts w:ascii="Arial" w:hAnsi="Arial" w:cs="Arial"/>
                <w:sz w:val="24"/>
                <w:szCs w:val="20"/>
              </w:rPr>
              <w:t>predicted</w:t>
            </w:r>
            <w:r w:rsidR="00FF1614">
              <w:rPr>
                <w:rFonts w:ascii="Arial" w:hAnsi="Arial" w:cs="Arial"/>
                <w:sz w:val="24"/>
                <w:szCs w:val="20"/>
              </w:rPr>
              <w:t xml:space="preserve">. </w:t>
            </w:r>
          </w:p>
          <w:p w:rsidR="002E7403" w:rsidRDefault="002E7403" w:rsidP="00333A14">
            <w:pPr>
              <w:rPr>
                <w:rFonts w:ascii="Arial" w:hAnsi="Arial" w:cs="Arial"/>
                <w:sz w:val="24"/>
                <w:szCs w:val="20"/>
              </w:rPr>
            </w:pPr>
          </w:p>
          <w:p w:rsidR="00333A14" w:rsidRDefault="00333A14" w:rsidP="00333A14">
            <w:pPr>
              <w:rPr>
                <w:rFonts w:ascii="Arial" w:hAnsi="Arial" w:cs="Arial"/>
                <w:sz w:val="24"/>
                <w:szCs w:val="20"/>
              </w:rPr>
            </w:pPr>
            <w:r w:rsidRPr="002E7403">
              <w:rPr>
                <w:rFonts w:ascii="Arial" w:hAnsi="Arial" w:cs="Arial"/>
                <w:sz w:val="24"/>
                <w:szCs w:val="20"/>
              </w:rPr>
              <w:t xml:space="preserve">In net terms, </w:t>
            </w:r>
            <w:r w:rsidR="002E7403">
              <w:rPr>
                <w:rFonts w:ascii="Arial" w:hAnsi="Arial" w:cs="Arial"/>
                <w:sz w:val="24"/>
                <w:szCs w:val="20"/>
              </w:rPr>
              <w:t xml:space="preserve">Enterprise </w:t>
            </w:r>
            <w:r w:rsidR="00FF1614">
              <w:rPr>
                <w:rFonts w:ascii="Arial" w:hAnsi="Arial" w:cs="Arial"/>
                <w:sz w:val="24"/>
                <w:szCs w:val="20"/>
              </w:rPr>
              <w:t>Zones</w:t>
            </w:r>
            <w:r w:rsidR="002E7403">
              <w:rPr>
                <w:rFonts w:ascii="Arial" w:hAnsi="Arial" w:cs="Arial"/>
                <w:sz w:val="24"/>
                <w:szCs w:val="20"/>
              </w:rPr>
              <w:t xml:space="preserve"> were </w:t>
            </w:r>
            <w:r w:rsidRPr="002E7403">
              <w:rPr>
                <w:rFonts w:ascii="Arial" w:hAnsi="Arial" w:cs="Arial"/>
                <w:sz w:val="24"/>
                <w:szCs w:val="20"/>
              </w:rPr>
              <w:t>still ahead of schedule</w:t>
            </w:r>
            <w:r w:rsidR="002E7403">
              <w:rPr>
                <w:rFonts w:ascii="Arial" w:hAnsi="Arial" w:cs="Arial"/>
                <w:sz w:val="24"/>
                <w:szCs w:val="20"/>
              </w:rPr>
              <w:t xml:space="preserve"> but it would be preferable to see some </w:t>
            </w:r>
            <w:r w:rsidRPr="002E7403">
              <w:rPr>
                <w:rFonts w:ascii="Arial" w:hAnsi="Arial" w:cs="Arial"/>
                <w:sz w:val="24"/>
                <w:szCs w:val="20"/>
              </w:rPr>
              <w:t>acceleration of capital financing.</w:t>
            </w:r>
            <w:r w:rsidR="002E7403">
              <w:rPr>
                <w:rFonts w:ascii="Arial" w:hAnsi="Arial" w:cs="Arial"/>
                <w:sz w:val="24"/>
                <w:szCs w:val="20"/>
              </w:rPr>
              <w:t xml:space="preserve"> Section 6 of the report suggested a revised way of </w:t>
            </w:r>
            <w:r w:rsidR="00FF1614">
              <w:rPr>
                <w:rFonts w:ascii="Arial" w:hAnsi="Arial" w:cs="Arial"/>
                <w:sz w:val="24"/>
                <w:szCs w:val="20"/>
              </w:rPr>
              <w:t>dealing</w:t>
            </w:r>
            <w:r w:rsidR="002E7403">
              <w:rPr>
                <w:rFonts w:ascii="Arial" w:hAnsi="Arial" w:cs="Arial"/>
                <w:sz w:val="24"/>
                <w:szCs w:val="20"/>
              </w:rPr>
              <w:t xml:space="preserve"> with Enterprise Zone funding where local </w:t>
            </w:r>
            <w:r w:rsidR="00FF1614">
              <w:rPr>
                <w:rFonts w:ascii="Arial" w:hAnsi="Arial" w:cs="Arial"/>
                <w:sz w:val="24"/>
                <w:szCs w:val="20"/>
              </w:rPr>
              <w:t>resources</w:t>
            </w:r>
            <w:r w:rsidR="002E7403">
              <w:rPr>
                <w:rFonts w:ascii="Arial" w:hAnsi="Arial" w:cs="Arial"/>
                <w:sz w:val="24"/>
                <w:szCs w:val="20"/>
              </w:rPr>
              <w:t xml:space="preserve"> could </w:t>
            </w:r>
            <w:r w:rsidR="00FF1614">
              <w:rPr>
                <w:rFonts w:ascii="Arial" w:hAnsi="Arial" w:cs="Arial"/>
                <w:sz w:val="24"/>
                <w:szCs w:val="20"/>
              </w:rPr>
              <w:t>be</w:t>
            </w:r>
            <w:r w:rsidR="002E7403">
              <w:rPr>
                <w:rFonts w:ascii="Arial" w:hAnsi="Arial" w:cs="Arial"/>
                <w:sz w:val="24"/>
                <w:szCs w:val="20"/>
              </w:rPr>
              <w:t xml:space="preserve"> used as an alternative to NEIF monies.</w:t>
            </w:r>
          </w:p>
          <w:p w:rsidR="002E7403" w:rsidRPr="002E7403" w:rsidRDefault="002E7403" w:rsidP="00333A14">
            <w:pPr>
              <w:rPr>
                <w:rFonts w:ascii="Arial" w:hAnsi="Arial" w:cs="Arial"/>
                <w:sz w:val="24"/>
                <w:szCs w:val="20"/>
              </w:rPr>
            </w:pPr>
          </w:p>
          <w:p w:rsidR="00333A14" w:rsidRPr="002E7403" w:rsidRDefault="00E53D5E" w:rsidP="00333A14">
            <w:pPr>
              <w:rPr>
                <w:rFonts w:ascii="Arial" w:hAnsi="Arial" w:cs="Arial"/>
                <w:sz w:val="24"/>
                <w:szCs w:val="20"/>
              </w:rPr>
            </w:pPr>
            <w:r>
              <w:rPr>
                <w:rFonts w:ascii="Arial" w:hAnsi="Arial" w:cs="Arial"/>
                <w:sz w:val="24"/>
                <w:szCs w:val="20"/>
              </w:rPr>
              <w:t>L</w:t>
            </w:r>
            <w:r w:rsidR="002E7403">
              <w:rPr>
                <w:rFonts w:ascii="Arial" w:hAnsi="Arial" w:cs="Arial"/>
                <w:sz w:val="24"/>
                <w:szCs w:val="20"/>
              </w:rPr>
              <w:t xml:space="preserve">ocal authority </w:t>
            </w:r>
            <w:r w:rsidR="00333A14" w:rsidRPr="002E7403">
              <w:rPr>
                <w:rFonts w:ascii="Arial" w:hAnsi="Arial" w:cs="Arial"/>
                <w:sz w:val="24"/>
                <w:szCs w:val="20"/>
              </w:rPr>
              <w:t>treasurers</w:t>
            </w:r>
            <w:r w:rsidR="002E7403">
              <w:rPr>
                <w:rFonts w:ascii="Arial" w:hAnsi="Arial" w:cs="Arial"/>
                <w:sz w:val="24"/>
                <w:szCs w:val="20"/>
              </w:rPr>
              <w:t xml:space="preserve"> were developing </w:t>
            </w:r>
            <w:r w:rsidR="00FF1614">
              <w:rPr>
                <w:rFonts w:ascii="Arial" w:hAnsi="Arial" w:cs="Arial"/>
                <w:sz w:val="24"/>
                <w:szCs w:val="20"/>
              </w:rPr>
              <w:t>the financial</w:t>
            </w:r>
            <w:r w:rsidR="002E7403">
              <w:rPr>
                <w:rFonts w:ascii="Arial" w:hAnsi="Arial" w:cs="Arial"/>
                <w:sz w:val="24"/>
                <w:szCs w:val="20"/>
              </w:rPr>
              <w:t xml:space="preserve"> strategy for the second round of Enterprise Zones and</w:t>
            </w:r>
            <w:r w:rsidR="00333A14" w:rsidRPr="002E7403">
              <w:rPr>
                <w:rFonts w:ascii="Arial" w:hAnsi="Arial" w:cs="Arial"/>
                <w:sz w:val="24"/>
                <w:szCs w:val="20"/>
              </w:rPr>
              <w:t xml:space="preserve"> looking to accele</w:t>
            </w:r>
            <w:r w:rsidR="002E7403">
              <w:rPr>
                <w:rFonts w:ascii="Arial" w:hAnsi="Arial" w:cs="Arial"/>
                <w:sz w:val="24"/>
                <w:szCs w:val="20"/>
              </w:rPr>
              <w:t xml:space="preserve">rate infrastructure development, whilst </w:t>
            </w:r>
            <w:r w:rsidR="00FF1614">
              <w:rPr>
                <w:rFonts w:ascii="Arial" w:hAnsi="Arial" w:cs="Arial"/>
                <w:sz w:val="24"/>
                <w:szCs w:val="20"/>
              </w:rPr>
              <w:t>making</w:t>
            </w:r>
            <w:r w:rsidR="00333A14" w:rsidRPr="002E7403">
              <w:rPr>
                <w:rFonts w:ascii="Arial" w:hAnsi="Arial" w:cs="Arial"/>
                <w:sz w:val="24"/>
                <w:szCs w:val="20"/>
              </w:rPr>
              <w:t xml:space="preserve"> </w:t>
            </w:r>
            <w:r w:rsidR="00FF1614" w:rsidRPr="002E7403">
              <w:rPr>
                <w:rFonts w:ascii="Arial" w:hAnsi="Arial" w:cs="Arial"/>
                <w:sz w:val="24"/>
                <w:szCs w:val="20"/>
              </w:rPr>
              <w:t>sure</w:t>
            </w:r>
            <w:r w:rsidR="00FF1614">
              <w:rPr>
                <w:rFonts w:ascii="Arial" w:hAnsi="Arial" w:cs="Arial"/>
                <w:sz w:val="24"/>
                <w:szCs w:val="20"/>
              </w:rPr>
              <w:t xml:space="preserve"> </w:t>
            </w:r>
            <w:r w:rsidR="00FF1614" w:rsidRPr="002E7403">
              <w:rPr>
                <w:rFonts w:ascii="Arial" w:hAnsi="Arial" w:cs="Arial"/>
                <w:sz w:val="24"/>
                <w:szCs w:val="20"/>
              </w:rPr>
              <w:t>that</w:t>
            </w:r>
            <w:r w:rsidR="002E7403">
              <w:rPr>
                <w:rFonts w:ascii="Arial" w:hAnsi="Arial" w:cs="Arial"/>
                <w:sz w:val="24"/>
                <w:szCs w:val="20"/>
              </w:rPr>
              <w:t xml:space="preserve"> </w:t>
            </w:r>
            <w:r w:rsidR="00333A14" w:rsidRPr="002E7403">
              <w:rPr>
                <w:rFonts w:ascii="Arial" w:hAnsi="Arial" w:cs="Arial"/>
                <w:sz w:val="24"/>
                <w:szCs w:val="20"/>
              </w:rPr>
              <w:t>existing schemes</w:t>
            </w:r>
            <w:r w:rsidR="002E7403">
              <w:rPr>
                <w:rFonts w:ascii="Arial" w:hAnsi="Arial" w:cs="Arial"/>
                <w:sz w:val="24"/>
                <w:szCs w:val="20"/>
              </w:rPr>
              <w:t xml:space="preserve"> at Blyth, </w:t>
            </w:r>
            <w:r w:rsidR="00FF1614">
              <w:rPr>
                <w:rFonts w:ascii="Arial" w:hAnsi="Arial" w:cs="Arial"/>
                <w:sz w:val="24"/>
                <w:szCs w:val="20"/>
              </w:rPr>
              <w:t>East</w:t>
            </w:r>
            <w:r w:rsidR="002E7403">
              <w:rPr>
                <w:rFonts w:ascii="Arial" w:hAnsi="Arial" w:cs="Arial"/>
                <w:sz w:val="24"/>
                <w:szCs w:val="20"/>
              </w:rPr>
              <w:t xml:space="preserve"> Sleekburn and </w:t>
            </w:r>
            <w:r w:rsidR="00333A14" w:rsidRPr="002E7403">
              <w:rPr>
                <w:rFonts w:ascii="Arial" w:hAnsi="Arial" w:cs="Arial"/>
                <w:sz w:val="24"/>
                <w:szCs w:val="20"/>
              </w:rPr>
              <w:t>Sunderland Low Carbon Zone</w:t>
            </w:r>
            <w:r w:rsidR="002E7403">
              <w:rPr>
                <w:rFonts w:ascii="Arial" w:hAnsi="Arial" w:cs="Arial"/>
                <w:sz w:val="24"/>
                <w:szCs w:val="20"/>
              </w:rPr>
              <w:t xml:space="preserve"> could progress</w:t>
            </w:r>
            <w:r w:rsidR="00333A14" w:rsidRPr="002E7403">
              <w:rPr>
                <w:rFonts w:ascii="Arial" w:hAnsi="Arial" w:cs="Arial"/>
                <w:sz w:val="24"/>
                <w:szCs w:val="20"/>
              </w:rPr>
              <w:t>.</w:t>
            </w:r>
            <w:r w:rsidR="002E7403">
              <w:rPr>
                <w:rFonts w:ascii="Arial" w:hAnsi="Arial" w:cs="Arial"/>
                <w:sz w:val="24"/>
                <w:szCs w:val="20"/>
              </w:rPr>
              <w:t xml:space="preserve"> The whole model would be reviewed and a report brought back to the September Board meeting on the business rate </w:t>
            </w:r>
            <w:r w:rsidR="00FF1614">
              <w:rPr>
                <w:rFonts w:ascii="Arial" w:hAnsi="Arial" w:cs="Arial"/>
                <w:sz w:val="24"/>
                <w:szCs w:val="20"/>
              </w:rPr>
              <w:t>growth</w:t>
            </w:r>
            <w:r w:rsidR="002E7403">
              <w:rPr>
                <w:rFonts w:ascii="Arial" w:hAnsi="Arial" w:cs="Arial"/>
                <w:sz w:val="24"/>
                <w:szCs w:val="20"/>
              </w:rPr>
              <w:t xml:space="preserve"> </w:t>
            </w:r>
            <w:r w:rsidR="00FF1614">
              <w:rPr>
                <w:rFonts w:ascii="Arial" w:hAnsi="Arial" w:cs="Arial"/>
                <w:sz w:val="24"/>
                <w:szCs w:val="20"/>
              </w:rPr>
              <w:t>projections</w:t>
            </w:r>
            <w:r w:rsidR="002E7403">
              <w:rPr>
                <w:rFonts w:ascii="Arial" w:hAnsi="Arial" w:cs="Arial"/>
                <w:sz w:val="24"/>
                <w:szCs w:val="20"/>
              </w:rPr>
              <w:t>.</w:t>
            </w:r>
          </w:p>
          <w:p w:rsidR="00333A14" w:rsidRPr="002E7403" w:rsidRDefault="00333A14" w:rsidP="00333A14">
            <w:pPr>
              <w:rPr>
                <w:rFonts w:ascii="Arial" w:hAnsi="Arial" w:cs="Arial"/>
                <w:sz w:val="24"/>
                <w:szCs w:val="20"/>
              </w:rPr>
            </w:pPr>
          </w:p>
          <w:p w:rsidR="00333A14" w:rsidRDefault="002E7403" w:rsidP="00333A14">
            <w:pPr>
              <w:rPr>
                <w:rFonts w:ascii="Arial" w:hAnsi="Arial" w:cs="Arial"/>
                <w:sz w:val="24"/>
                <w:szCs w:val="20"/>
              </w:rPr>
            </w:pPr>
            <w:r>
              <w:rPr>
                <w:rFonts w:ascii="Arial" w:hAnsi="Arial" w:cs="Arial"/>
                <w:sz w:val="24"/>
                <w:szCs w:val="20"/>
              </w:rPr>
              <w:t xml:space="preserve">The North East Combined Authority had been seeking to achieve flexibility for Enterprise Zone borrowing and using </w:t>
            </w:r>
            <w:r w:rsidR="00333A14" w:rsidRPr="002E7403">
              <w:rPr>
                <w:rFonts w:ascii="Arial" w:hAnsi="Arial" w:cs="Arial"/>
                <w:sz w:val="24"/>
                <w:szCs w:val="20"/>
              </w:rPr>
              <w:t>cash balances</w:t>
            </w:r>
            <w:r>
              <w:rPr>
                <w:rFonts w:ascii="Arial" w:hAnsi="Arial" w:cs="Arial"/>
                <w:sz w:val="24"/>
                <w:szCs w:val="20"/>
              </w:rPr>
              <w:t xml:space="preserve"> on a </w:t>
            </w:r>
            <w:r w:rsidR="00333A14" w:rsidRPr="002E7403">
              <w:rPr>
                <w:rFonts w:ascii="Arial" w:hAnsi="Arial" w:cs="Arial"/>
                <w:sz w:val="24"/>
                <w:szCs w:val="20"/>
              </w:rPr>
              <w:t xml:space="preserve">short term basis rather than external borrowing on 0.6% rate. </w:t>
            </w:r>
            <w:r>
              <w:rPr>
                <w:rFonts w:ascii="Arial" w:hAnsi="Arial" w:cs="Arial"/>
                <w:sz w:val="24"/>
                <w:szCs w:val="20"/>
              </w:rPr>
              <w:t xml:space="preserve">It was hoped that this income </w:t>
            </w:r>
            <w:r w:rsidR="00FF1614">
              <w:rPr>
                <w:rFonts w:ascii="Arial" w:hAnsi="Arial" w:cs="Arial"/>
                <w:sz w:val="24"/>
                <w:szCs w:val="20"/>
              </w:rPr>
              <w:t>could</w:t>
            </w:r>
            <w:r>
              <w:rPr>
                <w:rFonts w:ascii="Arial" w:hAnsi="Arial" w:cs="Arial"/>
                <w:sz w:val="24"/>
                <w:szCs w:val="20"/>
              </w:rPr>
              <w:t xml:space="preserve"> be centralised </w:t>
            </w:r>
            <w:r w:rsidR="00333A14" w:rsidRPr="002E7403">
              <w:rPr>
                <w:rFonts w:ascii="Arial" w:hAnsi="Arial" w:cs="Arial"/>
                <w:sz w:val="24"/>
                <w:szCs w:val="20"/>
              </w:rPr>
              <w:t xml:space="preserve">and </w:t>
            </w:r>
            <w:r>
              <w:rPr>
                <w:rFonts w:ascii="Arial" w:hAnsi="Arial" w:cs="Arial"/>
                <w:sz w:val="24"/>
                <w:szCs w:val="20"/>
              </w:rPr>
              <w:t xml:space="preserve">the </w:t>
            </w:r>
            <w:r w:rsidR="00333A14" w:rsidRPr="002E7403">
              <w:rPr>
                <w:rFonts w:ascii="Arial" w:hAnsi="Arial" w:cs="Arial"/>
                <w:sz w:val="24"/>
                <w:szCs w:val="20"/>
              </w:rPr>
              <w:t xml:space="preserve">risk </w:t>
            </w:r>
            <w:r>
              <w:rPr>
                <w:rFonts w:ascii="Arial" w:hAnsi="Arial" w:cs="Arial"/>
                <w:sz w:val="24"/>
                <w:szCs w:val="20"/>
              </w:rPr>
              <w:t xml:space="preserve">managed </w:t>
            </w:r>
            <w:r w:rsidR="00333A14" w:rsidRPr="002E7403">
              <w:rPr>
                <w:rFonts w:ascii="Arial" w:hAnsi="Arial" w:cs="Arial"/>
                <w:sz w:val="24"/>
                <w:szCs w:val="20"/>
              </w:rPr>
              <w:t>centrally.</w:t>
            </w:r>
            <w:r>
              <w:rPr>
                <w:rFonts w:ascii="Arial" w:hAnsi="Arial" w:cs="Arial"/>
                <w:sz w:val="24"/>
                <w:szCs w:val="20"/>
              </w:rPr>
              <w:t xml:space="preserve"> There was a fall back decision for borrowing if interest rates were to increase in the future but it was estimated that if this</w:t>
            </w:r>
            <w:r w:rsidR="00333A14" w:rsidRPr="002E7403">
              <w:rPr>
                <w:rFonts w:ascii="Arial" w:hAnsi="Arial" w:cs="Arial"/>
                <w:sz w:val="24"/>
                <w:szCs w:val="20"/>
              </w:rPr>
              <w:t xml:space="preserve"> approach</w:t>
            </w:r>
            <w:r>
              <w:rPr>
                <w:rFonts w:ascii="Arial" w:hAnsi="Arial" w:cs="Arial"/>
                <w:sz w:val="24"/>
                <w:szCs w:val="20"/>
              </w:rPr>
              <w:t xml:space="preserve"> was used</w:t>
            </w:r>
            <w:r w:rsidR="00333A14" w:rsidRPr="002E7403">
              <w:rPr>
                <w:rFonts w:ascii="Arial" w:hAnsi="Arial" w:cs="Arial"/>
                <w:sz w:val="24"/>
                <w:szCs w:val="20"/>
              </w:rPr>
              <w:t xml:space="preserve">, </w:t>
            </w:r>
            <w:r>
              <w:rPr>
                <w:rFonts w:ascii="Arial" w:hAnsi="Arial" w:cs="Arial"/>
                <w:sz w:val="24"/>
                <w:szCs w:val="20"/>
              </w:rPr>
              <w:t xml:space="preserve">it would </w:t>
            </w:r>
            <w:r w:rsidR="00333A14" w:rsidRPr="002E7403">
              <w:rPr>
                <w:rFonts w:ascii="Arial" w:hAnsi="Arial" w:cs="Arial"/>
                <w:sz w:val="24"/>
                <w:szCs w:val="20"/>
              </w:rPr>
              <w:t>increase surplus</w:t>
            </w:r>
            <w:r>
              <w:rPr>
                <w:rFonts w:ascii="Arial" w:hAnsi="Arial" w:cs="Arial"/>
                <w:sz w:val="24"/>
                <w:szCs w:val="20"/>
              </w:rPr>
              <w:t xml:space="preserve">es by £5m. </w:t>
            </w:r>
          </w:p>
          <w:p w:rsidR="009B37C3" w:rsidRDefault="009B37C3" w:rsidP="00333A14">
            <w:pPr>
              <w:rPr>
                <w:rFonts w:ascii="Arial" w:hAnsi="Arial" w:cs="Arial"/>
                <w:sz w:val="24"/>
                <w:szCs w:val="20"/>
              </w:rPr>
            </w:pPr>
          </w:p>
          <w:p w:rsidR="009B37C3" w:rsidRPr="009B37C3" w:rsidRDefault="009B37C3" w:rsidP="00333A14">
            <w:pPr>
              <w:rPr>
                <w:rFonts w:ascii="Arial" w:hAnsi="Arial" w:cs="Arial"/>
                <w:b/>
                <w:sz w:val="24"/>
                <w:szCs w:val="20"/>
              </w:rPr>
            </w:pPr>
            <w:r w:rsidRPr="009B37C3">
              <w:rPr>
                <w:rFonts w:ascii="Arial" w:hAnsi="Arial" w:cs="Arial"/>
                <w:b/>
                <w:sz w:val="24"/>
                <w:szCs w:val="20"/>
              </w:rPr>
              <w:t xml:space="preserve">The </w:t>
            </w:r>
            <w:r w:rsidR="00FF1614">
              <w:rPr>
                <w:rFonts w:ascii="Arial" w:hAnsi="Arial" w:cs="Arial"/>
                <w:b/>
                <w:sz w:val="24"/>
                <w:szCs w:val="20"/>
              </w:rPr>
              <w:t>B</w:t>
            </w:r>
            <w:r w:rsidR="00FF1614" w:rsidRPr="009B37C3">
              <w:rPr>
                <w:rFonts w:ascii="Arial" w:hAnsi="Arial" w:cs="Arial"/>
                <w:b/>
                <w:sz w:val="24"/>
                <w:szCs w:val="20"/>
              </w:rPr>
              <w:t>oard</w:t>
            </w:r>
            <w:r w:rsidRPr="009B37C3">
              <w:rPr>
                <w:rFonts w:ascii="Arial" w:hAnsi="Arial" w:cs="Arial"/>
                <w:b/>
                <w:sz w:val="24"/>
                <w:szCs w:val="20"/>
              </w:rPr>
              <w:t xml:space="preserve"> AGREED that: -</w:t>
            </w:r>
          </w:p>
          <w:p w:rsidR="009B37C3" w:rsidRPr="009B37C3" w:rsidRDefault="009B37C3" w:rsidP="00333A14">
            <w:pPr>
              <w:rPr>
                <w:rFonts w:ascii="Arial" w:hAnsi="Arial" w:cs="Arial"/>
                <w:b/>
                <w:sz w:val="24"/>
                <w:szCs w:val="20"/>
              </w:rPr>
            </w:pPr>
          </w:p>
          <w:p w:rsidR="009B37C3" w:rsidRPr="009B37C3" w:rsidRDefault="009B37C3" w:rsidP="009B37C3">
            <w:pPr>
              <w:pStyle w:val="ListParagraph"/>
              <w:numPr>
                <w:ilvl w:val="0"/>
                <w:numId w:val="30"/>
              </w:numPr>
              <w:ind w:left="720"/>
              <w:rPr>
                <w:rFonts w:ascii="Arial" w:hAnsi="Arial" w:cs="Arial"/>
                <w:b/>
                <w:sz w:val="24"/>
                <w:szCs w:val="20"/>
              </w:rPr>
            </w:pPr>
            <w:r w:rsidRPr="009B37C3">
              <w:rPr>
                <w:rFonts w:ascii="Arial" w:hAnsi="Arial" w:cs="Arial"/>
                <w:b/>
                <w:sz w:val="24"/>
                <w:szCs w:val="20"/>
              </w:rPr>
              <w:t>the report be noted;</w:t>
            </w:r>
          </w:p>
          <w:p w:rsidR="009B37C3" w:rsidRPr="009B37C3" w:rsidRDefault="009B37C3" w:rsidP="009B37C3">
            <w:pPr>
              <w:pStyle w:val="ListParagraph"/>
              <w:rPr>
                <w:rFonts w:ascii="Arial" w:hAnsi="Arial" w:cs="Arial"/>
                <w:b/>
                <w:sz w:val="24"/>
                <w:szCs w:val="20"/>
              </w:rPr>
            </w:pPr>
          </w:p>
          <w:p w:rsidR="009B37C3" w:rsidRPr="009B37C3" w:rsidRDefault="009B37C3" w:rsidP="009B37C3">
            <w:pPr>
              <w:pStyle w:val="ListParagraph"/>
              <w:numPr>
                <w:ilvl w:val="0"/>
                <w:numId w:val="30"/>
              </w:numPr>
              <w:ind w:left="720"/>
              <w:rPr>
                <w:rFonts w:ascii="Arial" w:hAnsi="Arial" w:cs="Arial"/>
                <w:b/>
                <w:sz w:val="24"/>
                <w:szCs w:val="20"/>
              </w:rPr>
            </w:pPr>
            <w:r w:rsidRPr="009B37C3">
              <w:rPr>
                <w:rFonts w:ascii="Arial" w:hAnsi="Arial" w:cs="Arial"/>
                <w:b/>
                <w:sz w:val="24"/>
                <w:szCs w:val="20"/>
              </w:rPr>
              <w:t xml:space="preserve">the </w:t>
            </w:r>
            <w:r w:rsidR="00FF1614" w:rsidRPr="009B37C3">
              <w:rPr>
                <w:rFonts w:ascii="Arial" w:hAnsi="Arial" w:cs="Arial"/>
                <w:b/>
                <w:sz w:val="24"/>
                <w:szCs w:val="20"/>
              </w:rPr>
              <w:t>funding</w:t>
            </w:r>
            <w:r w:rsidRPr="009B37C3">
              <w:rPr>
                <w:rFonts w:ascii="Arial" w:hAnsi="Arial" w:cs="Arial"/>
                <w:b/>
                <w:sz w:val="24"/>
                <w:szCs w:val="20"/>
              </w:rPr>
              <w:t xml:space="preserve"> strategy set out in section 6 of the report, which </w:t>
            </w:r>
            <w:r w:rsidR="00FF1614" w:rsidRPr="009B37C3">
              <w:rPr>
                <w:rFonts w:ascii="Arial" w:hAnsi="Arial" w:cs="Arial"/>
                <w:b/>
                <w:sz w:val="24"/>
                <w:szCs w:val="20"/>
              </w:rPr>
              <w:t>would</w:t>
            </w:r>
            <w:r w:rsidRPr="009B37C3">
              <w:rPr>
                <w:rFonts w:ascii="Arial" w:hAnsi="Arial" w:cs="Arial"/>
                <w:b/>
                <w:sz w:val="24"/>
                <w:szCs w:val="20"/>
              </w:rPr>
              <w:t xml:space="preserve"> also be subject to approval by the NECA Leadership Board, be approved; and</w:t>
            </w:r>
          </w:p>
          <w:p w:rsidR="009B37C3" w:rsidRPr="009B37C3" w:rsidRDefault="009B37C3" w:rsidP="009B37C3">
            <w:pPr>
              <w:pStyle w:val="ListParagraph"/>
              <w:rPr>
                <w:rFonts w:ascii="Arial" w:hAnsi="Arial" w:cs="Arial"/>
                <w:b/>
                <w:sz w:val="24"/>
                <w:szCs w:val="20"/>
              </w:rPr>
            </w:pPr>
          </w:p>
          <w:p w:rsidR="00D36FE3" w:rsidRPr="00E53D5E" w:rsidRDefault="009B37C3" w:rsidP="00E53D5E">
            <w:pPr>
              <w:pStyle w:val="ListParagraph"/>
              <w:numPr>
                <w:ilvl w:val="0"/>
                <w:numId w:val="30"/>
              </w:numPr>
              <w:ind w:left="720"/>
              <w:rPr>
                <w:rFonts w:ascii="Arial" w:hAnsi="Arial" w:cs="Arial"/>
                <w:b/>
                <w:sz w:val="24"/>
                <w:szCs w:val="20"/>
              </w:rPr>
            </w:pPr>
            <w:r w:rsidRPr="009B37C3">
              <w:rPr>
                <w:rFonts w:ascii="Arial" w:hAnsi="Arial" w:cs="Arial"/>
                <w:b/>
                <w:sz w:val="24"/>
                <w:szCs w:val="20"/>
              </w:rPr>
              <w:t>the next steps in Enterprise Zone development as set out in section 7 be noted.</w:t>
            </w: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BB143A" w:rsidRPr="00A61813" w:rsidTr="00D80263">
        <w:tc>
          <w:tcPr>
            <w:tcW w:w="576" w:type="dxa"/>
            <w:shd w:val="clear" w:color="auto" w:fill="auto"/>
          </w:tcPr>
          <w:p w:rsidR="00BB143A"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8.</w:t>
            </w:r>
          </w:p>
        </w:tc>
        <w:tc>
          <w:tcPr>
            <w:tcW w:w="8532" w:type="dxa"/>
            <w:tcBorders>
              <w:right w:val="single" w:sz="4" w:space="0" w:color="auto"/>
            </w:tcBorders>
            <w:shd w:val="clear" w:color="auto" w:fill="auto"/>
          </w:tcPr>
          <w:p w:rsidR="00BB143A" w:rsidRDefault="00A260B2" w:rsidP="00B358D9">
            <w:pPr>
              <w:rPr>
                <w:rFonts w:ascii="Arial" w:hAnsi="Arial" w:cs="Arial"/>
                <w:b/>
                <w:sz w:val="24"/>
                <w:szCs w:val="24"/>
              </w:rPr>
            </w:pPr>
            <w:r>
              <w:rPr>
                <w:rFonts w:ascii="Arial" w:hAnsi="Arial" w:cs="Arial"/>
                <w:b/>
                <w:sz w:val="24"/>
                <w:szCs w:val="24"/>
              </w:rPr>
              <w:t>LOCAL GROWTH FUND</w:t>
            </w:r>
          </w:p>
          <w:p w:rsidR="00BB143A" w:rsidRDefault="00BB143A" w:rsidP="00B358D9">
            <w:pPr>
              <w:rPr>
                <w:rFonts w:ascii="Arial" w:hAnsi="Arial" w:cs="Arial"/>
                <w:b/>
                <w:sz w:val="24"/>
                <w:szCs w:val="24"/>
              </w:rPr>
            </w:pPr>
          </w:p>
          <w:p w:rsidR="00DB7B1D" w:rsidRDefault="00DB7B1D" w:rsidP="00DB7B1D">
            <w:pPr>
              <w:rPr>
                <w:rFonts w:ascii="Arial" w:hAnsi="Arial" w:cs="Arial"/>
                <w:b/>
                <w:sz w:val="24"/>
                <w:szCs w:val="24"/>
              </w:rPr>
            </w:pPr>
            <w:r>
              <w:rPr>
                <w:rFonts w:ascii="Arial" w:hAnsi="Arial" w:cs="Arial"/>
                <w:b/>
                <w:sz w:val="24"/>
                <w:szCs w:val="24"/>
              </w:rPr>
              <w:t>This report was strictly confidential as it contained commercial information relating to the financial or business affairs of a particular person or organisation and was not for wider circulation.</w:t>
            </w:r>
          </w:p>
          <w:p w:rsidR="004C131A" w:rsidRDefault="004C131A" w:rsidP="00DB7B1D">
            <w:pPr>
              <w:rPr>
                <w:rFonts w:ascii="Arial" w:hAnsi="Arial" w:cs="Arial"/>
                <w:b/>
                <w:sz w:val="24"/>
                <w:szCs w:val="24"/>
              </w:rPr>
            </w:pPr>
          </w:p>
          <w:p w:rsidR="00BB143A" w:rsidRDefault="00BB143A" w:rsidP="00E53D5E">
            <w:pPr>
              <w:rPr>
                <w:rFonts w:ascii="Arial" w:hAnsi="Arial" w:cs="Arial"/>
                <w:b/>
                <w:sz w:val="24"/>
                <w:szCs w:val="24"/>
              </w:rPr>
            </w:pPr>
          </w:p>
        </w:tc>
        <w:tc>
          <w:tcPr>
            <w:tcW w:w="1404" w:type="dxa"/>
            <w:tcBorders>
              <w:left w:val="single" w:sz="4" w:space="0" w:color="auto"/>
            </w:tcBorders>
            <w:shd w:val="clear" w:color="auto" w:fill="auto"/>
          </w:tcPr>
          <w:p w:rsidR="00BB143A" w:rsidRPr="00A61813" w:rsidRDefault="00BB143A" w:rsidP="00A61813">
            <w:pPr>
              <w:rPr>
                <w:rFonts w:ascii="Arial" w:eastAsia="Times New Roman" w:hAnsi="Arial" w:cs="Times New Roman"/>
                <w:b/>
                <w:sz w:val="24"/>
                <w:szCs w:val="24"/>
                <w:lang w:eastAsia="en-GB"/>
              </w:rPr>
            </w:pPr>
          </w:p>
        </w:tc>
      </w:tr>
      <w:tr w:rsidR="00D80263" w:rsidRPr="00A61813" w:rsidTr="00D80263">
        <w:tc>
          <w:tcPr>
            <w:tcW w:w="576" w:type="dxa"/>
            <w:shd w:val="clear" w:color="auto" w:fill="auto"/>
          </w:tcPr>
          <w:p w:rsidR="00D80263"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9</w:t>
            </w:r>
            <w:r w:rsidR="00D80263">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D80263" w:rsidRDefault="00A260B2" w:rsidP="00B358D9">
            <w:pPr>
              <w:rPr>
                <w:rFonts w:ascii="Arial" w:hAnsi="Arial" w:cs="Arial"/>
                <w:b/>
                <w:sz w:val="24"/>
                <w:szCs w:val="24"/>
              </w:rPr>
            </w:pPr>
            <w:r>
              <w:rPr>
                <w:rFonts w:ascii="Arial" w:hAnsi="Arial" w:cs="Arial"/>
                <w:b/>
                <w:sz w:val="24"/>
                <w:szCs w:val="24"/>
              </w:rPr>
              <w:t>DEVOLUTION UPDATE</w:t>
            </w:r>
          </w:p>
          <w:p w:rsidR="00D80263" w:rsidRDefault="00D80263" w:rsidP="00B358D9">
            <w:pPr>
              <w:rPr>
                <w:rFonts w:ascii="Arial" w:hAnsi="Arial" w:cs="Arial"/>
                <w:b/>
                <w:sz w:val="24"/>
                <w:szCs w:val="24"/>
              </w:rPr>
            </w:pPr>
          </w:p>
          <w:p w:rsidR="00BC4893" w:rsidRDefault="00E53D5E" w:rsidP="00A260B2">
            <w:pPr>
              <w:rPr>
                <w:rFonts w:ascii="Arial" w:hAnsi="Arial" w:cs="Arial"/>
                <w:sz w:val="24"/>
                <w:szCs w:val="24"/>
              </w:rPr>
            </w:pPr>
            <w:r>
              <w:rPr>
                <w:rFonts w:ascii="Arial" w:hAnsi="Arial" w:cs="Arial"/>
                <w:sz w:val="24"/>
                <w:szCs w:val="24"/>
              </w:rPr>
              <w:t>The Board were advised</w:t>
            </w:r>
            <w:r w:rsidR="00BC4893">
              <w:rPr>
                <w:rFonts w:ascii="Arial" w:hAnsi="Arial" w:cs="Arial"/>
                <w:sz w:val="24"/>
                <w:szCs w:val="24"/>
              </w:rPr>
              <w:t xml:space="preserve"> that the NECA </w:t>
            </w:r>
            <w:r w:rsidR="001B21EF">
              <w:rPr>
                <w:rFonts w:ascii="Arial" w:hAnsi="Arial" w:cs="Arial"/>
                <w:sz w:val="24"/>
                <w:szCs w:val="24"/>
              </w:rPr>
              <w:t>Leadership</w:t>
            </w:r>
            <w:r w:rsidR="00BC4893">
              <w:rPr>
                <w:rFonts w:ascii="Arial" w:hAnsi="Arial" w:cs="Arial"/>
                <w:sz w:val="24"/>
                <w:szCs w:val="24"/>
              </w:rPr>
              <w:t xml:space="preserve"> Board had agreed on 17 May</w:t>
            </w:r>
            <w:r w:rsidR="0051288D">
              <w:rPr>
                <w:rFonts w:ascii="Arial" w:hAnsi="Arial" w:cs="Arial"/>
                <w:sz w:val="24"/>
                <w:szCs w:val="24"/>
              </w:rPr>
              <w:t xml:space="preserve"> 2016</w:t>
            </w:r>
            <w:r w:rsidR="00BC4893">
              <w:rPr>
                <w:rFonts w:ascii="Arial" w:hAnsi="Arial" w:cs="Arial"/>
                <w:sz w:val="24"/>
                <w:szCs w:val="24"/>
              </w:rPr>
              <w:t xml:space="preserve"> to progress the devolution agreement and each of the local authorities and NECA had been requested to formally </w:t>
            </w:r>
            <w:r w:rsidR="001B21EF">
              <w:rPr>
                <w:rFonts w:ascii="Arial" w:hAnsi="Arial" w:cs="Arial"/>
                <w:sz w:val="24"/>
                <w:szCs w:val="24"/>
              </w:rPr>
              <w:t>consent</w:t>
            </w:r>
            <w:r w:rsidR="00BC4893">
              <w:rPr>
                <w:rFonts w:ascii="Arial" w:hAnsi="Arial" w:cs="Arial"/>
                <w:sz w:val="24"/>
                <w:szCs w:val="24"/>
              </w:rPr>
              <w:t xml:space="preserve"> to the first order, with the deadline for this being 27 May 2016. </w:t>
            </w:r>
          </w:p>
          <w:p w:rsidR="00BC4893" w:rsidRDefault="00BC4893" w:rsidP="00A260B2">
            <w:pPr>
              <w:rPr>
                <w:rFonts w:ascii="Arial" w:hAnsi="Arial" w:cs="Arial"/>
                <w:sz w:val="24"/>
                <w:szCs w:val="24"/>
              </w:rPr>
            </w:pPr>
          </w:p>
          <w:p w:rsidR="004A132C" w:rsidRDefault="001B21EF" w:rsidP="00A260B2">
            <w:pPr>
              <w:rPr>
                <w:rFonts w:ascii="Arial" w:hAnsi="Arial" w:cs="Arial"/>
                <w:sz w:val="24"/>
                <w:szCs w:val="24"/>
              </w:rPr>
            </w:pPr>
            <w:r>
              <w:rPr>
                <w:rFonts w:ascii="Arial" w:hAnsi="Arial" w:cs="Arial"/>
                <w:sz w:val="24"/>
                <w:szCs w:val="24"/>
              </w:rPr>
              <w:t xml:space="preserve">Between 27 May and 21 June, agreement would have to be reached on the contents of the second order which would involve a review </w:t>
            </w:r>
            <w:r w:rsidR="00565C51">
              <w:rPr>
                <w:rFonts w:ascii="Arial" w:hAnsi="Arial" w:cs="Arial"/>
                <w:sz w:val="24"/>
                <w:szCs w:val="24"/>
              </w:rPr>
              <w:t xml:space="preserve">of the </w:t>
            </w:r>
            <w:r>
              <w:rPr>
                <w:rFonts w:ascii="Arial" w:hAnsi="Arial" w:cs="Arial"/>
                <w:sz w:val="24"/>
                <w:szCs w:val="24"/>
              </w:rPr>
              <w:t xml:space="preserve">scheme of governance. </w:t>
            </w:r>
            <w:r w:rsidR="00BC4893">
              <w:rPr>
                <w:rFonts w:ascii="Arial" w:hAnsi="Arial" w:cs="Arial"/>
                <w:sz w:val="24"/>
                <w:szCs w:val="24"/>
              </w:rPr>
              <w:t>There would be a lot of work related to this, in particular the reformed LEP and the strengthened role of business.  Some discussions had begun on this and these would look at the strategic level to be submitted with the scheme and would require the support of all partners going forward.</w:t>
            </w:r>
          </w:p>
          <w:p w:rsidR="00BC4893" w:rsidRDefault="00BC4893" w:rsidP="00A260B2">
            <w:pPr>
              <w:rPr>
                <w:rFonts w:ascii="Arial" w:hAnsi="Arial" w:cs="Arial"/>
                <w:sz w:val="24"/>
                <w:szCs w:val="24"/>
              </w:rPr>
            </w:pPr>
          </w:p>
          <w:p w:rsidR="00BC4893" w:rsidRDefault="00565C51" w:rsidP="00A260B2">
            <w:pPr>
              <w:rPr>
                <w:rFonts w:ascii="Arial" w:hAnsi="Arial" w:cs="Arial"/>
                <w:sz w:val="24"/>
                <w:szCs w:val="24"/>
              </w:rPr>
            </w:pPr>
            <w:r>
              <w:rPr>
                <w:rFonts w:ascii="Arial" w:hAnsi="Arial" w:cs="Arial"/>
                <w:sz w:val="24"/>
                <w:szCs w:val="24"/>
              </w:rPr>
              <w:t>Following</w:t>
            </w:r>
            <w:r w:rsidR="00BC4893">
              <w:rPr>
                <w:rFonts w:ascii="Arial" w:hAnsi="Arial" w:cs="Arial"/>
                <w:sz w:val="24"/>
                <w:szCs w:val="24"/>
              </w:rPr>
              <w:t xml:space="preserve"> 21 </w:t>
            </w:r>
            <w:r w:rsidR="001B21EF">
              <w:rPr>
                <w:rFonts w:ascii="Arial" w:hAnsi="Arial" w:cs="Arial"/>
                <w:sz w:val="24"/>
                <w:szCs w:val="24"/>
              </w:rPr>
              <w:t>June,</w:t>
            </w:r>
            <w:r w:rsidR="00BC4893">
              <w:rPr>
                <w:rFonts w:ascii="Arial" w:hAnsi="Arial" w:cs="Arial"/>
                <w:sz w:val="24"/>
                <w:szCs w:val="24"/>
              </w:rPr>
              <w:t xml:space="preserve"> the devolution agreement would become a consultation </w:t>
            </w:r>
            <w:r w:rsidR="001B21EF">
              <w:rPr>
                <w:rFonts w:ascii="Arial" w:hAnsi="Arial" w:cs="Arial"/>
                <w:sz w:val="24"/>
                <w:szCs w:val="24"/>
              </w:rPr>
              <w:t>document</w:t>
            </w:r>
            <w:r w:rsidR="00BC4893">
              <w:rPr>
                <w:rFonts w:ascii="Arial" w:hAnsi="Arial" w:cs="Arial"/>
                <w:sz w:val="24"/>
                <w:szCs w:val="24"/>
              </w:rPr>
              <w:t xml:space="preserve"> for eight weeks and the results would be presented to the </w:t>
            </w:r>
            <w:r w:rsidR="001B21EF">
              <w:rPr>
                <w:rFonts w:ascii="Arial" w:hAnsi="Arial" w:cs="Arial"/>
                <w:sz w:val="24"/>
                <w:szCs w:val="24"/>
              </w:rPr>
              <w:t>Leadership</w:t>
            </w:r>
            <w:r w:rsidR="00BC4893">
              <w:rPr>
                <w:rFonts w:ascii="Arial" w:hAnsi="Arial" w:cs="Arial"/>
                <w:sz w:val="24"/>
                <w:szCs w:val="24"/>
              </w:rPr>
              <w:t xml:space="preserve"> Board and submitted to the Government in the early autumn. The Order would have to be made within six months of the proposed commencement of the Mayoral Combined Authority in May 2017.</w:t>
            </w:r>
          </w:p>
          <w:p w:rsidR="00BC4893" w:rsidRDefault="00BC4893" w:rsidP="00A260B2">
            <w:pPr>
              <w:rPr>
                <w:rFonts w:ascii="Arial" w:hAnsi="Arial" w:cs="Arial"/>
                <w:sz w:val="24"/>
                <w:szCs w:val="24"/>
              </w:rPr>
            </w:pPr>
          </w:p>
          <w:p w:rsidR="00565C51" w:rsidRDefault="00E53D5E" w:rsidP="00A260B2">
            <w:pPr>
              <w:rPr>
                <w:rFonts w:ascii="Arial" w:hAnsi="Arial" w:cs="Arial"/>
                <w:sz w:val="24"/>
                <w:szCs w:val="24"/>
              </w:rPr>
            </w:pPr>
            <w:r>
              <w:rPr>
                <w:rFonts w:ascii="Arial" w:hAnsi="Arial" w:cs="Arial"/>
                <w:sz w:val="24"/>
                <w:szCs w:val="24"/>
              </w:rPr>
              <w:t>T</w:t>
            </w:r>
            <w:r w:rsidR="00565C51">
              <w:rPr>
                <w:rFonts w:ascii="Arial" w:hAnsi="Arial" w:cs="Arial"/>
                <w:sz w:val="24"/>
                <w:szCs w:val="24"/>
              </w:rPr>
              <w:t xml:space="preserve">he governance review would look at the legal processes and which existing orders </w:t>
            </w:r>
            <w:r w:rsidR="0051288D">
              <w:rPr>
                <w:rFonts w:ascii="Arial" w:hAnsi="Arial" w:cs="Arial"/>
                <w:sz w:val="24"/>
                <w:szCs w:val="24"/>
              </w:rPr>
              <w:t>may</w:t>
            </w:r>
            <w:r w:rsidR="00565C51">
              <w:rPr>
                <w:rFonts w:ascii="Arial" w:hAnsi="Arial" w:cs="Arial"/>
                <w:sz w:val="24"/>
                <w:szCs w:val="24"/>
              </w:rPr>
              <w:t xml:space="preserve"> have to be reviewed. There was an opportunity for the </w:t>
            </w:r>
            <w:r w:rsidR="0051288D">
              <w:rPr>
                <w:rFonts w:ascii="Arial" w:hAnsi="Arial" w:cs="Arial"/>
                <w:sz w:val="24"/>
                <w:szCs w:val="24"/>
              </w:rPr>
              <w:t>LEP</w:t>
            </w:r>
            <w:r w:rsidR="00565C51">
              <w:rPr>
                <w:rFonts w:ascii="Arial" w:hAnsi="Arial" w:cs="Arial"/>
                <w:sz w:val="24"/>
                <w:szCs w:val="24"/>
              </w:rPr>
              <w:t xml:space="preserve"> to be involved but the most significant opportunity would be during the consultation period after 21 June. </w:t>
            </w:r>
            <w:r>
              <w:rPr>
                <w:rFonts w:ascii="Arial" w:hAnsi="Arial" w:cs="Arial"/>
                <w:sz w:val="24"/>
                <w:szCs w:val="24"/>
              </w:rPr>
              <w:t>T</w:t>
            </w:r>
            <w:r w:rsidR="00565C51">
              <w:rPr>
                <w:rFonts w:ascii="Arial" w:hAnsi="Arial" w:cs="Arial"/>
                <w:sz w:val="24"/>
                <w:szCs w:val="24"/>
              </w:rPr>
              <w:t>he Leadership Board had not yet seen or discussed any of the options at this stage.</w:t>
            </w:r>
          </w:p>
          <w:p w:rsidR="00565C51" w:rsidRDefault="00565C51" w:rsidP="00A260B2">
            <w:pPr>
              <w:rPr>
                <w:rFonts w:ascii="Arial" w:hAnsi="Arial" w:cs="Arial"/>
                <w:sz w:val="24"/>
                <w:szCs w:val="24"/>
              </w:rPr>
            </w:pPr>
          </w:p>
          <w:p w:rsidR="00295F80" w:rsidRDefault="00565C51" w:rsidP="00A260B2">
            <w:pPr>
              <w:rPr>
                <w:rFonts w:ascii="Arial" w:hAnsi="Arial" w:cs="Arial"/>
                <w:sz w:val="24"/>
                <w:szCs w:val="24"/>
              </w:rPr>
            </w:pPr>
            <w:r>
              <w:rPr>
                <w:rFonts w:ascii="Arial" w:hAnsi="Arial" w:cs="Arial"/>
                <w:sz w:val="24"/>
                <w:szCs w:val="24"/>
              </w:rPr>
              <w:t xml:space="preserve">The Chair highlighted that the consultation process would adhere to the </w:t>
            </w:r>
            <w:r w:rsidR="0051288D">
              <w:rPr>
                <w:rFonts w:ascii="Arial" w:hAnsi="Arial" w:cs="Arial"/>
                <w:sz w:val="24"/>
                <w:szCs w:val="24"/>
              </w:rPr>
              <w:t>principles</w:t>
            </w:r>
            <w:r>
              <w:rPr>
                <w:rFonts w:ascii="Arial" w:hAnsi="Arial" w:cs="Arial"/>
                <w:sz w:val="24"/>
                <w:szCs w:val="24"/>
              </w:rPr>
              <w:t xml:space="preserve"> for inclusion which had been set </w:t>
            </w:r>
            <w:r w:rsidR="0051288D">
              <w:rPr>
                <w:rFonts w:ascii="Arial" w:hAnsi="Arial" w:cs="Arial"/>
                <w:sz w:val="24"/>
                <w:szCs w:val="24"/>
              </w:rPr>
              <w:t>out</w:t>
            </w:r>
            <w:r>
              <w:rPr>
                <w:rFonts w:ascii="Arial" w:hAnsi="Arial" w:cs="Arial"/>
                <w:sz w:val="24"/>
                <w:szCs w:val="24"/>
              </w:rPr>
              <w:t xml:space="preserve"> by the broader business community and it was suggested that these </w:t>
            </w:r>
            <w:r w:rsidR="0051288D">
              <w:rPr>
                <w:rFonts w:ascii="Arial" w:hAnsi="Arial" w:cs="Arial"/>
                <w:sz w:val="24"/>
                <w:szCs w:val="24"/>
              </w:rPr>
              <w:t xml:space="preserve">principles </w:t>
            </w:r>
            <w:r>
              <w:rPr>
                <w:rFonts w:ascii="Arial" w:hAnsi="Arial" w:cs="Arial"/>
                <w:sz w:val="24"/>
                <w:szCs w:val="24"/>
              </w:rPr>
              <w:t xml:space="preserve">would be strengthened if they were endorsed by the LEP itself. </w:t>
            </w:r>
            <w:r w:rsidR="00E53D5E">
              <w:rPr>
                <w:rFonts w:ascii="Arial" w:hAnsi="Arial" w:cs="Arial"/>
                <w:sz w:val="24"/>
                <w:szCs w:val="24"/>
              </w:rPr>
              <w:t xml:space="preserve">It was noted </w:t>
            </w:r>
            <w:r w:rsidR="00295F80">
              <w:rPr>
                <w:rFonts w:ascii="Arial" w:hAnsi="Arial" w:cs="Arial"/>
                <w:sz w:val="24"/>
                <w:szCs w:val="24"/>
              </w:rPr>
              <w:t xml:space="preserve">that the LEP Board had a </w:t>
            </w:r>
            <w:r w:rsidR="0051288D">
              <w:rPr>
                <w:rFonts w:ascii="Arial" w:hAnsi="Arial" w:cs="Arial"/>
                <w:sz w:val="24"/>
                <w:szCs w:val="24"/>
              </w:rPr>
              <w:t>responsibility</w:t>
            </w:r>
            <w:r w:rsidR="00295F80">
              <w:rPr>
                <w:rFonts w:ascii="Arial" w:hAnsi="Arial" w:cs="Arial"/>
                <w:sz w:val="24"/>
                <w:szCs w:val="24"/>
              </w:rPr>
              <w:t xml:space="preserve"> for the economic wellbeing of the North East and would offer any assistance it could to aid the discussions. </w:t>
            </w:r>
          </w:p>
          <w:p w:rsidR="00295F80" w:rsidRDefault="00295F80" w:rsidP="00A260B2">
            <w:pPr>
              <w:rPr>
                <w:rFonts w:ascii="Arial" w:hAnsi="Arial" w:cs="Arial"/>
                <w:sz w:val="24"/>
                <w:szCs w:val="24"/>
              </w:rPr>
            </w:pPr>
          </w:p>
          <w:p w:rsidR="00295F80" w:rsidRPr="00295F80" w:rsidRDefault="00295F80" w:rsidP="00A260B2">
            <w:pPr>
              <w:rPr>
                <w:rFonts w:ascii="Arial" w:hAnsi="Arial" w:cs="Arial"/>
                <w:b/>
                <w:sz w:val="24"/>
                <w:szCs w:val="24"/>
              </w:rPr>
            </w:pPr>
            <w:r w:rsidRPr="00295F80">
              <w:rPr>
                <w:rFonts w:ascii="Arial" w:hAnsi="Arial" w:cs="Arial"/>
                <w:b/>
                <w:sz w:val="24"/>
                <w:szCs w:val="24"/>
              </w:rPr>
              <w:t>The Board NOTED the update.</w:t>
            </w:r>
          </w:p>
          <w:p w:rsidR="00BC4893" w:rsidRDefault="00BC4893" w:rsidP="00A260B2">
            <w:pPr>
              <w:rPr>
                <w:rFonts w:ascii="Arial" w:hAnsi="Arial" w:cs="Arial"/>
                <w:sz w:val="24"/>
                <w:szCs w:val="24"/>
              </w:rPr>
            </w:pPr>
          </w:p>
          <w:p w:rsidR="00A260B2" w:rsidRPr="00D80263" w:rsidRDefault="00A260B2" w:rsidP="00A260B2">
            <w:pPr>
              <w:rPr>
                <w:rFonts w:ascii="Arial" w:hAnsi="Arial" w:cs="Arial"/>
                <w:sz w:val="24"/>
                <w:szCs w:val="24"/>
              </w:rPr>
            </w:pPr>
          </w:p>
        </w:tc>
        <w:tc>
          <w:tcPr>
            <w:tcW w:w="1404" w:type="dxa"/>
            <w:tcBorders>
              <w:left w:val="single" w:sz="4" w:space="0" w:color="auto"/>
            </w:tcBorders>
            <w:shd w:val="clear" w:color="auto" w:fill="auto"/>
          </w:tcPr>
          <w:p w:rsidR="00D80263" w:rsidRPr="00A61813" w:rsidRDefault="00D80263" w:rsidP="00A61813">
            <w:pPr>
              <w:rPr>
                <w:rFonts w:ascii="Arial" w:eastAsia="Times New Roman" w:hAnsi="Arial" w:cs="Times New Roman"/>
                <w:b/>
                <w:sz w:val="24"/>
                <w:szCs w:val="24"/>
                <w:lang w:eastAsia="en-GB"/>
              </w:rPr>
            </w:pPr>
          </w:p>
        </w:tc>
      </w:tr>
      <w:tr w:rsidR="00BB143A" w:rsidRPr="00A61813" w:rsidTr="00D80263">
        <w:tc>
          <w:tcPr>
            <w:tcW w:w="576" w:type="dxa"/>
            <w:shd w:val="clear" w:color="auto" w:fill="auto"/>
          </w:tcPr>
          <w:p w:rsidR="00BB143A" w:rsidRDefault="00A260B2"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10</w:t>
            </w:r>
            <w:r w:rsidR="00BB143A">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BB143A" w:rsidRDefault="00BB143A" w:rsidP="00B358D9">
            <w:pPr>
              <w:rPr>
                <w:rFonts w:ascii="Arial" w:hAnsi="Arial" w:cs="Arial"/>
                <w:b/>
                <w:sz w:val="24"/>
                <w:szCs w:val="24"/>
              </w:rPr>
            </w:pPr>
            <w:r>
              <w:rPr>
                <w:rFonts w:ascii="Arial" w:hAnsi="Arial" w:cs="Arial"/>
                <w:b/>
                <w:sz w:val="24"/>
                <w:szCs w:val="24"/>
              </w:rPr>
              <w:t>ANY OTHER BUSINESS</w:t>
            </w:r>
          </w:p>
          <w:p w:rsidR="00BB143A" w:rsidRDefault="00BB143A" w:rsidP="00B358D9">
            <w:pPr>
              <w:rPr>
                <w:rFonts w:ascii="Arial" w:hAnsi="Arial" w:cs="Arial"/>
                <w:b/>
                <w:sz w:val="24"/>
                <w:szCs w:val="24"/>
              </w:rPr>
            </w:pPr>
          </w:p>
          <w:p w:rsidR="00BB143A" w:rsidRDefault="00295F80" w:rsidP="00B358D9">
            <w:pPr>
              <w:rPr>
                <w:rFonts w:ascii="Arial" w:hAnsi="Arial" w:cs="Arial"/>
                <w:b/>
                <w:sz w:val="24"/>
                <w:szCs w:val="24"/>
              </w:rPr>
            </w:pPr>
            <w:r>
              <w:rPr>
                <w:rFonts w:ascii="Arial" w:hAnsi="Arial" w:cs="Arial"/>
                <w:b/>
                <w:sz w:val="24"/>
                <w:szCs w:val="24"/>
              </w:rPr>
              <w:t>Innovation Board</w:t>
            </w:r>
          </w:p>
          <w:p w:rsidR="00295F80" w:rsidRDefault="00295F80" w:rsidP="00B358D9">
            <w:pPr>
              <w:rPr>
                <w:rFonts w:ascii="Arial" w:hAnsi="Arial" w:cs="Arial"/>
                <w:b/>
                <w:sz w:val="24"/>
                <w:szCs w:val="24"/>
              </w:rPr>
            </w:pPr>
          </w:p>
          <w:p w:rsidR="00BB143A" w:rsidRPr="00E53D5E" w:rsidRDefault="00295F80" w:rsidP="00B358D9">
            <w:pPr>
              <w:rPr>
                <w:rFonts w:ascii="Arial" w:hAnsi="Arial" w:cs="Arial"/>
                <w:sz w:val="24"/>
                <w:szCs w:val="24"/>
              </w:rPr>
            </w:pPr>
            <w:r>
              <w:rPr>
                <w:rFonts w:ascii="Arial" w:hAnsi="Arial" w:cs="Arial"/>
                <w:sz w:val="24"/>
                <w:szCs w:val="24"/>
              </w:rPr>
              <w:t>The Chair informed Board Members that Roy Sandbach was stepping down as the Chair of the Innovation Board and it was proposed that Alan Lowden take over the role.</w:t>
            </w:r>
            <w:bookmarkStart w:id="0" w:name="_GoBack"/>
            <w:bookmarkEnd w:id="0"/>
          </w:p>
        </w:tc>
        <w:tc>
          <w:tcPr>
            <w:tcW w:w="1404" w:type="dxa"/>
            <w:tcBorders>
              <w:left w:val="single" w:sz="4" w:space="0" w:color="auto"/>
            </w:tcBorders>
            <w:shd w:val="clear" w:color="auto" w:fill="auto"/>
          </w:tcPr>
          <w:p w:rsidR="00BB143A" w:rsidRPr="00A61813" w:rsidRDefault="00BB143A" w:rsidP="00A61813">
            <w:pPr>
              <w:rPr>
                <w:rFonts w:ascii="Arial" w:eastAsia="Times New Roman" w:hAnsi="Arial" w:cs="Times New Roman"/>
                <w:b/>
                <w:sz w:val="24"/>
                <w:szCs w:val="24"/>
                <w:lang w:eastAsia="en-GB"/>
              </w:rPr>
            </w:pPr>
          </w:p>
        </w:tc>
      </w:tr>
      <w:tr w:rsidR="00D80263" w:rsidRPr="00A61813" w:rsidTr="00D80263">
        <w:tc>
          <w:tcPr>
            <w:tcW w:w="576" w:type="dxa"/>
            <w:shd w:val="clear" w:color="auto" w:fill="auto"/>
          </w:tcPr>
          <w:p w:rsidR="00D80263" w:rsidRDefault="009456CF" w:rsidP="00A260B2">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1</w:t>
            </w:r>
            <w:r w:rsidR="00A260B2">
              <w:rPr>
                <w:rFonts w:ascii="Arial" w:eastAsia="Times New Roman" w:hAnsi="Arial" w:cs="Times New Roman"/>
                <w:b/>
                <w:sz w:val="24"/>
                <w:szCs w:val="24"/>
                <w:lang w:eastAsia="en-GB"/>
              </w:rPr>
              <w:t>1</w:t>
            </w:r>
            <w:r w:rsidR="00D80263">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D80263" w:rsidRDefault="00D80263" w:rsidP="00B358D9">
            <w:pPr>
              <w:rPr>
                <w:rFonts w:ascii="Arial" w:hAnsi="Arial" w:cs="Arial"/>
                <w:b/>
                <w:sz w:val="24"/>
                <w:szCs w:val="24"/>
              </w:rPr>
            </w:pPr>
            <w:r>
              <w:rPr>
                <w:rFonts w:ascii="Arial" w:hAnsi="Arial" w:cs="Arial"/>
                <w:b/>
                <w:sz w:val="24"/>
                <w:szCs w:val="24"/>
              </w:rPr>
              <w:t>DATE AND TIME OF NEXT MEETING</w:t>
            </w:r>
          </w:p>
          <w:p w:rsidR="00D80263" w:rsidRDefault="00D80263" w:rsidP="00D80263">
            <w:pPr>
              <w:pStyle w:val="ListParagraph"/>
              <w:rPr>
                <w:rFonts w:ascii="Arial" w:hAnsi="Arial" w:cs="Arial"/>
                <w:sz w:val="24"/>
                <w:szCs w:val="24"/>
              </w:rPr>
            </w:pPr>
          </w:p>
          <w:p w:rsidR="00D80263" w:rsidRPr="00C93828" w:rsidRDefault="00295F80" w:rsidP="00D80263">
            <w:pPr>
              <w:pStyle w:val="ListParagraph"/>
              <w:ind w:left="0"/>
              <w:rPr>
                <w:rFonts w:ascii="Arial" w:hAnsi="Arial" w:cs="Arial"/>
                <w:sz w:val="24"/>
                <w:szCs w:val="24"/>
              </w:rPr>
            </w:pPr>
            <w:r>
              <w:rPr>
                <w:rFonts w:ascii="Arial" w:hAnsi="Arial" w:cs="Arial"/>
                <w:sz w:val="24"/>
                <w:szCs w:val="24"/>
              </w:rPr>
              <w:t xml:space="preserve">A </w:t>
            </w:r>
            <w:r w:rsidR="0051288D">
              <w:rPr>
                <w:rFonts w:ascii="Arial" w:hAnsi="Arial" w:cs="Arial"/>
                <w:sz w:val="24"/>
                <w:szCs w:val="24"/>
              </w:rPr>
              <w:t>special</w:t>
            </w:r>
            <w:r>
              <w:rPr>
                <w:rFonts w:ascii="Arial" w:hAnsi="Arial" w:cs="Arial"/>
                <w:sz w:val="24"/>
                <w:szCs w:val="24"/>
              </w:rPr>
              <w:t xml:space="preserve"> meeting of the LEP Board would take place on Monday 4 July 2016 at 11.30am and the </w:t>
            </w:r>
            <w:r w:rsidR="00D80263">
              <w:rPr>
                <w:rFonts w:ascii="Arial" w:hAnsi="Arial" w:cs="Arial"/>
                <w:sz w:val="24"/>
                <w:szCs w:val="24"/>
              </w:rPr>
              <w:t xml:space="preserve">next </w:t>
            </w:r>
            <w:r>
              <w:rPr>
                <w:rFonts w:ascii="Arial" w:hAnsi="Arial" w:cs="Arial"/>
                <w:sz w:val="24"/>
                <w:szCs w:val="24"/>
              </w:rPr>
              <w:t>ordinary Board meeting would</w:t>
            </w:r>
            <w:r w:rsidR="00D80263">
              <w:rPr>
                <w:rFonts w:ascii="Arial" w:hAnsi="Arial" w:cs="Arial"/>
                <w:sz w:val="24"/>
                <w:szCs w:val="24"/>
              </w:rPr>
              <w:t xml:space="preserve"> be held on Thursday </w:t>
            </w:r>
            <w:r w:rsidR="00A260B2">
              <w:rPr>
                <w:rFonts w:ascii="Arial" w:hAnsi="Arial" w:cs="Arial"/>
                <w:sz w:val="24"/>
                <w:szCs w:val="24"/>
              </w:rPr>
              <w:t>28 July</w:t>
            </w:r>
            <w:r w:rsidR="009456CF">
              <w:rPr>
                <w:rFonts w:ascii="Arial" w:hAnsi="Arial" w:cs="Arial"/>
                <w:sz w:val="24"/>
                <w:szCs w:val="24"/>
              </w:rPr>
              <w:t xml:space="preserve"> </w:t>
            </w:r>
            <w:r w:rsidR="00D80263">
              <w:rPr>
                <w:rFonts w:ascii="Arial" w:hAnsi="Arial" w:cs="Arial"/>
                <w:sz w:val="24"/>
                <w:szCs w:val="24"/>
              </w:rPr>
              <w:t>201</w:t>
            </w:r>
            <w:r w:rsidR="00AE42B6">
              <w:rPr>
                <w:rFonts w:ascii="Arial" w:hAnsi="Arial" w:cs="Arial"/>
                <w:sz w:val="24"/>
                <w:szCs w:val="24"/>
              </w:rPr>
              <w:t>6</w:t>
            </w:r>
            <w:r w:rsidR="00D80263">
              <w:rPr>
                <w:rFonts w:ascii="Arial" w:hAnsi="Arial" w:cs="Arial"/>
                <w:sz w:val="24"/>
                <w:szCs w:val="24"/>
              </w:rPr>
              <w:t xml:space="preserve"> at 5.00pm</w:t>
            </w:r>
            <w:r w:rsidR="00A05DA5">
              <w:rPr>
                <w:rFonts w:ascii="Arial" w:hAnsi="Arial" w:cs="Arial"/>
                <w:sz w:val="24"/>
                <w:szCs w:val="24"/>
              </w:rPr>
              <w:t>.</w:t>
            </w:r>
            <w:r w:rsidR="00D80263">
              <w:rPr>
                <w:rFonts w:ascii="Arial" w:hAnsi="Arial" w:cs="Arial"/>
                <w:sz w:val="24"/>
                <w:szCs w:val="24"/>
              </w:rPr>
              <w:t xml:space="preserve"> </w:t>
            </w:r>
          </w:p>
          <w:p w:rsidR="00D80263" w:rsidRDefault="00D80263" w:rsidP="00B358D9">
            <w:pPr>
              <w:rPr>
                <w:rFonts w:ascii="Arial" w:hAnsi="Arial" w:cs="Arial"/>
                <w:b/>
                <w:sz w:val="24"/>
                <w:szCs w:val="24"/>
              </w:rPr>
            </w:pPr>
          </w:p>
        </w:tc>
        <w:tc>
          <w:tcPr>
            <w:tcW w:w="1404" w:type="dxa"/>
            <w:tcBorders>
              <w:left w:val="single" w:sz="4" w:space="0" w:color="auto"/>
            </w:tcBorders>
            <w:shd w:val="clear" w:color="auto" w:fill="auto"/>
          </w:tcPr>
          <w:p w:rsidR="00D80263" w:rsidRPr="00A61813" w:rsidRDefault="00D80263" w:rsidP="00A61813">
            <w:pPr>
              <w:rPr>
                <w:rFonts w:ascii="Arial" w:eastAsia="Times New Roman" w:hAnsi="Arial" w:cs="Times New Roman"/>
                <w:b/>
                <w:sz w:val="24"/>
                <w:szCs w:val="24"/>
                <w:lang w:eastAsia="en-GB"/>
              </w:rPr>
            </w:pPr>
          </w:p>
        </w:tc>
      </w:tr>
    </w:tbl>
    <w:p w:rsidR="00C93828" w:rsidRPr="00C93828" w:rsidRDefault="00C93828" w:rsidP="004A132C">
      <w:pPr>
        <w:rPr>
          <w:rFonts w:ascii="Arial" w:hAnsi="Arial" w:cs="Arial"/>
          <w:sz w:val="24"/>
          <w:szCs w:val="24"/>
        </w:rPr>
      </w:pPr>
    </w:p>
    <w:sectPr w:rsidR="00C93828" w:rsidRPr="00C93828" w:rsidSect="001957CF">
      <w:footerReference w:type="default" r:id="rId9"/>
      <w:pgSz w:w="11906" w:h="16838" w:code="9"/>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A4" w:rsidRDefault="00BA7AA4" w:rsidP="00BA7AA4">
      <w:r>
        <w:separator/>
      </w:r>
    </w:p>
  </w:endnote>
  <w:endnote w:type="continuationSeparator" w:id="0">
    <w:p w:rsidR="00BA7AA4" w:rsidRDefault="00BA7AA4" w:rsidP="00B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56511"/>
      <w:docPartObj>
        <w:docPartGallery w:val="Page Numbers (Bottom of Page)"/>
        <w:docPartUnique/>
      </w:docPartObj>
    </w:sdtPr>
    <w:sdtEndPr>
      <w:rPr>
        <w:rFonts w:ascii="Arial" w:hAnsi="Arial" w:cs="Arial"/>
        <w:noProof/>
        <w:sz w:val="24"/>
        <w:szCs w:val="24"/>
      </w:rPr>
    </w:sdtEndPr>
    <w:sdtContent>
      <w:p w:rsidR="00BA7AA4" w:rsidRPr="00BA7AA4" w:rsidRDefault="00BA7AA4">
        <w:pPr>
          <w:pStyle w:val="Footer"/>
          <w:jc w:val="center"/>
          <w:rPr>
            <w:rFonts w:ascii="Arial" w:hAnsi="Arial" w:cs="Arial"/>
            <w:sz w:val="24"/>
            <w:szCs w:val="24"/>
          </w:rPr>
        </w:pPr>
        <w:r w:rsidRPr="00BA7AA4">
          <w:rPr>
            <w:rFonts w:ascii="Arial" w:hAnsi="Arial" w:cs="Arial"/>
            <w:sz w:val="24"/>
            <w:szCs w:val="24"/>
          </w:rPr>
          <w:fldChar w:fldCharType="begin"/>
        </w:r>
        <w:r w:rsidRPr="00BA7AA4">
          <w:rPr>
            <w:rFonts w:ascii="Arial" w:hAnsi="Arial" w:cs="Arial"/>
            <w:sz w:val="24"/>
            <w:szCs w:val="24"/>
          </w:rPr>
          <w:instrText xml:space="preserve"> PAGE   \* MERGEFORMAT </w:instrText>
        </w:r>
        <w:r w:rsidRPr="00BA7AA4">
          <w:rPr>
            <w:rFonts w:ascii="Arial" w:hAnsi="Arial" w:cs="Arial"/>
            <w:sz w:val="24"/>
            <w:szCs w:val="24"/>
          </w:rPr>
          <w:fldChar w:fldCharType="separate"/>
        </w:r>
        <w:r w:rsidR="00C10B21">
          <w:rPr>
            <w:rFonts w:ascii="Arial" w:hAnsi="Arial" w:cs="Arial"/>
            <w:noProof/>
            <w:sz w:val="24"/>
            <w:szCs w:val="24"/>
          </w:rPr>
          <w:t>6</w:t>
        </w:r>
        <w:r w:rsidRPr="00BA7AA4">
          <w:rPr>
            <w:rFonts w:ascii="Arial" w:hAnsi="Arial" w:cs="Arial"/>
            <w:noProof/>
            <w:sz w:val="24"/>
            <w:szCs w:val="24"/>
          </w:rPr>
          <w:fldChar w:fldCharType="end"/>
        </w:r>
      </w:p>
    </w:sdtContent>
  </w:sdt>
  <w:p w:rsidR="00BA7AA4" w:rsidRPr="00BA7AA4" w:rsidRDefault="00BA7AA4" w:rsidP="00BA7AA4">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A4" w:rsidRDefault="00BA7AA4" w:rsidP="00BA7AA4">
      <w:r>
        <w:separator/>
      </w:r>
    </w:p>
  </w:footnote>
  <w:footnote w:type="continuationSeparator" w:id="0">
    <w:p w:rsidR="00BA7AA4" w:rsidRDefault="00BA7AA4" w:rsidP="00BA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354"/>
    <w:multiLevelType w:val="hybridMultilevel"/>
    <w:tmpl w:val="BBC272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CC5C95"/>
    <w:multiLevelType w:val="hybridMultilevel"/>
    <w:tmpl w:val="0C40761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08BB2566"/>
    <w:multiLevelType w:val="hybridMultilevel"/>
    <w:tmpl w:val="0CC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A4B24"/>
    <w:multiLevelType w:val="hybridMultilevel"/>
    <w:tmpl w:val="F68C19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E6E3F11"/>
    <w:multiLevelType w:val="hybridMultilevel"/>
    <w:tmpl w:val="DE225BB8"/>
    <w:lvl w:ilvl="0" w:tplc="E8BC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26FD3"/>
    <w:multiLevelType w:val="hybridMultilevel"/>
    <w:tmpl w:val="F2B82746"/>
    <w:lvl w:ilvl="0" w:tplc="0902FFD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E765C"/>
    <w:multiLevelType w:val="hybridMultilevel"/>
    <w:tmpl w:val="3402B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C7912B0"/>
    <w:multiLevelType w:val="hybridMultilevel"/>
    <w:tmpl w:val="60A8633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DA2742C"/>
    <w:multiLevelType w:val="hybridMultilevel"/>
    <w:tmpl w:val="180AAC6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0A62D30"/>
    <w:multiLevelType w:val="hybridMultilevel"/>
    <w:tmpl w:val="DA3E377E"/>
    <w:lvl w:ilvl="0" w:tplc="D2186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77042"/>
    <w:multiLevelType w:val="hybridMultilevel"/>
    <w:tmpl w:val="E132C930"/>
    <w:lvl w:ilvl="0" w:tplc="1FCA0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D14D50"/>
    <w:multiLevelType w:val="hybridMultilevel"/>
    <w:tmpl w:val="0ED6A73A"/>
    <w:lvl w:ilvl="0" w:tplc="B7E07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B77ED"/>
    <w:multiLevelType w:val="hybridMultilevel"/>
    <w:tmpl w:val="04768876"/>
    <w:lvl w:ilvl="0" w:tplc="B6FA2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F744D3"/>
    <w:multiLevelType w:val="hybridMultilevel"/>
    <w:tmpl w:val="CE6EF8B6"/>
    <w:lvl w:ilvl="0" w:tplc="5D6EB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683E04"/>
    <w:multiLevelType w:val="hybridMultilevel"/>
    <w:tmpl w:val="C6621A00"/>
    <w:lvl w:ilvl="0" w:tplc="804EA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C5198"/>
    <w:multiLevelType w:val="hybridMultilevel"/>
    <w:tmpl w:val="0F0A344C"/>
    <w:lvl w:ilvl="0" w:tplc="FB7A2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449AB"/>
    <w:multiLevelType w:val="hybridMultilevel"/>
    <w:tmpl w:val="F648C84E"/>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nsid w:val="43A96361"/>
    <w:multiLevelType w:val="hybridMultilevel"/>
    <w:tmpl w:val="7A1A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A6780"/>
    <w:multiLevelType w:val="hybridMultilevel"/>
    <w:tmpl w:val="86AAC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C3D2F"/>
    <w:multiLevelType w:val="hybridMultilevel"/>
    <w:tmpl w:val="DC92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316731"/>
    <w:multiLevelType w:val="hybridMultilevel"/>
    <w:tmpl w:val="284A038C"/>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5C696410"/>
    <w:multiLevelType w:val="hybridMultilevel"/>
    <w:tmpl w:val="30B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D9634E"/>
    <w:multiLevelType w:val="hybridMultilevel"/>
    <w:tmpl w:val="0D1A0038"/>
    <w:lvl w:ilvl="0" w:tplc="54C0D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6186A"/>
    <w:multiLevelType w:val="hybridMultilevel"/>
    <w:tmpl w:val="AB0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D81296"/>
    <w:multiLevelType w:val="hybridMultilevel"/>
    <w:tmpl w:val="3CFAB5AE"/>
    <w:lvl w:ilvl="0" w:tplc="91AE4B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311E35"/>
    <w:multiLevelType w:val="hybridMultilevel"/>
    <w:tmpl w:val="C1E8570E"/>
    <w:lvl w:ilvl="0" w:tplc="39167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9479B6"/>
    <w:multiLevelType w:val="hybridMultilevel"/>
    <w:tmpl w:val="0AE0AB14"/>
    <w:lvl w:ilvl="0" w:tplc="23C0F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500E8"/>
    <w:multiLevelType w:val="hybridMultilevel"/>
    <w:tmpl w:val="4C3049B4"/>
    <w:lvl w:ilvl="0" w:tplc="A4E2FB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D93624"/>
    <w:multiLevelType w:val="hybridMultilevel"/>
    <w:tmpl w:val="6576DAA4"/>
    <w:lvl w:ilvl="0" w:tplc="176AA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365B6"/>
    <w:multiLevelType w:val="hybridMultilevel"/>
    <w:tmpl w:val="34CE3024"/>
    <w:lvl w:ilvl="0" w:tplc="2E90B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5850F4"/>
    <w:multiLevelType w:val="hybridMultilevel"/>
    <w:tmpl w:val="BD46D28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A487A73"/>
    <w:multiLevelType w:val="hybridMultilevel"/>
    <w:tmpl w:val="5FCEF2C8"/>
    <w:lvl w:ilvl="0" w:tplc="D2B64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3"/>
  </w:num>
  <w:num w:numId="3">
    <w:abstractNumId w:val="3"/>
  </w:num>
  <w:num w:numId="4">
    <w:abstractNumId w:val="8"/>
  </w:num>
  <w:num w:numId="5">
    <w:abstractNumId w:val="30"/>
  </w:num>
  <w:num w:numId="6">
    <w:abstractNumId w:val="7"/>
  </w:num>
  <w:num w:numId="7">
    <w:abstractNumId w:val="6"/>
  </w:num>
  <w:num w:numId="8">
    <w:abstractNumId w:val="11"/>
  </w:num>
  <w:num w:numId="9">
    <w:abstractNumId w:val="22"/>
  </w:num>
  <w:num w:numId="10">
    <w:abstractNumId w:val="12"/>
  </w:num>
  <w:num w:numId="11">
    <w:abstractNumId w:val="29"/>
  </w:num>
  <w:num w:numId="12">
    <w:abstractNumId w:val="0"/>
  </w:num>
  <w:num w:numId="13">
    <w:abstractNumId w:val="5"/>
  </w:num>
  <w:num w:numId="14">
    <w:abstractNumId w:val="2"/>
  </w:num>
  <w:num w:numId="15">
    <w:abstractNumId w:val="26"/>
  </w:num>
  <w:num w:numId="16">
    <w:abstractNumId w:val="19"/>
  </w:num>
  <w:num w:numId="17">
    <w:abstractNumId w:val="25"/>
  </w:num>
  <w:num w:numId="18">
    <w:abstractNumId w:val="15"/>
  </w:num>
  <w:num w:numId="19">
    <w:abstractNumId w:val="10"/>
  </w:num>
  <w:num w:numId="20">
    <w:abstractNumId w:val="28"/>
  </w:num>
  <w:num w:numId="21">
    <w:abstractNumId w:val="1"/>
  </w:num>
  <w:num w:numId="22">
    <w:abstractNumId w:val="16"/>
  </w:num>
  <w:num w:numId="23">
    <w:abstractNumId w:val="20"/>
  </w:num>
  <w:num w:numId="24">
    <w:abstractNumId w:val="27"/>
  </w:num>
  <w:num w:numId="25">
    <w:abstractNumId w:val="17"/>
  </w:num>
  <w:num w:numId="26">
    <w:abstractNumId w:val="24"/>
  </w:num>
  <w:num w:numId="27">
    <w:abstractNumId w:val="14"/>
  </w:num>
  <w:num w:numId="28">
    <w:abstractNumId w:val="4"/>
  </w:num>
  <w:num w:numId="29">
    <w:abstractNumId w:val="31"/>
  </w:num>
  <w:num w:numId="30">
    <w:abstractNumId w:val="13"/>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28"/>
    <w:rsid w:val="00001528"/>
    <w:rsid w:val="000508E6"/>
    <w:rsid w:val="00054A87"/>
    <w:rsid w:val="00056E91"/>
    <w:rsid w:val="0007708F"/>
    <w:rsid w:val="000A627D"/>
    <w:rsid w:val="000B16E5"/>
    <w:rsid w:val="000F62C6"/>
    <w:rsid w:val="00107B4A"/>
    <w:rsid w:val="001175FE"/>
    <w:rsid w:val="00157382"/>
    <w:rsid w:val="00171853"/>
    <w:rsid w:val="00180DEF"/>
    <w:rsid w:val="00184F0B"/>
    <w:rsid w:val="00194F29"/>
    <w:rsid w:val="001957CF"/>
    <w:rsid w:val="00196357"/>
    <w:rsid w:val="001A1349"/>
    <w:rsid w:val="001B21EF"/>
    <w:rsid w:val="001F5B78"/>
    <w:rsid w:val="002411C3"/>
    <w:rsid w:val="002438AE"/>
    <w:rsid w:val="0025772A"/>
    <w:rsid w:val="0027282E"/>
    <w:rsid w:val="002840CC"/>
    <w:rsid w:val="00295F80"/>
    <w:rsid w:val="002A78D9"/>
    <w:rsid w:val="002C496F"/>
    <w:rsid w:val="002C59DD"/>
    <w:rsid w:val="002D6D76"/>
    <w:rsid w:val="002E7403"/>
    <w:rsid w:val="002F3DCE"/>
    <w:rsid w:val="0031687C"/>
    <w:rsid w:val="00323BC1"/>
    <w:rsid w:val="00333A14"/>
    <w:rsid w:val="00334BB8"/>
    <w:rsid w:val="00346579"/>
    <w:rsid w:val="003535E1"/>
    <w:rsid w:val="0038552A"/>
    <w:rsid w:val="00395397"/>
    <w:rsid w:val="003A5C1A"/>
    <w:rsid w:val="003B4CE2"/>
    <w:rsid w:val="003B6C6D"/>
    <w:rsid w:val="003C0204"/>
    <w:rsid w:val="003D6B53"/>
    <w:rsid w:val="003E7BF8"/>
    <w:rsid w:val="003F66CD"/>
    <w:rsid w:val="0040713D"/>
    <w:rsid w:val="0041568D"/>
    <w:rsid w:val="00415A0B"/>
    <w:rsid w:val="00420FB8"/>
    <w:rsid w:val="00456086"/>
    <w:rsid w:val="00461736"/>
    <w:rsid w:val="004A132C"/>
    <w:rsid w:val="004A2211"/>
    <w:rsid w:val="004C131A"/>
    <w:rsid w:val="004E0F95"/>
    <w:rsid w:val="0051288D"/>
    <w:rsid w:val="00530583"/>
    <w:rsid w:val="0055305A"/>
    <w:rsid w:val="005642CA"/>
    <w:rsid w:val="00565C51"/>
    <w:rsid w:val="005A4C05"/>
    <w:rsid w:val="005E4674"/>
    <w:rsid w:val="0060644B"/>
    <w:rsid w:val="00645000"/>
    <w:rsid w:val="00652F15"/>
    <w:rsid w:val="00663C31"/>
    <w:rsid w:val="006717A0"/>
    <w:rsid w:val="006A02D1"/>
    <w:rsid w:val="006B26AD"/>
    <w:rsid w:val="006C3B67"/>
    <w:rsid w:val="00726907"/>
    <w:rsid w:val="00732AE2"/>
    <w:rsid w:val="007359BD"/>
    <w:rsid w:val="0077540A"/>
    <w:rsid w:val="00775991"/>
    <w:rsid w:val="00784AE4"/>
    <w:rsid w:val="007B7749"/>
    <w:rsid w:val="007C7B74"/>
    <w:rsid w:val="007D0308"/>
    <w:rsid w:val="007D6F0D"/>
    <w:rsid w:val="007E0A11"/>
    <w:rsid w:val="008009B5"/>
    <w:rsid w:val="008200DC"/>
    <w:rsid w:val="00821945"/>
    <w:rsid w:val="008225E9"/>
    <w:rsid w:val="00822EEE"/>
    <w:rsid w:val="00825B15"/>
    <w:rsid w:val="008260EF"/>
    <w:rsid w:val="00831FC4"/>
    <w:rsid w:val="00834870"/>
    <w:rsid w:val="0084509F"/>
    <w:rsid w:val="008511CE"/>
    <w:rsid w:val="00857045"/>
    <w:rsid w:val="00857405"/>
    <w:rsid w:val="0088272C"/>
    <w:rsid w:val="00890F25"/>
    <w:rsid w:val="00894BC5"/>
    <w:rsid w:val="008B1A42"/>
    <w:rsid w:val="008E3C09"/>
    <w:rsid w:val="009126FE"/>
    <w:rsid w:val="00923229"/>
    <w:rsid w:val="009456CF"/>
    <w:rsid w:val="009640C6"/>
    <w:rsid w:val="00973036"/>
    <w:rsid w:val="00982826"/>
    <w:rsid w:val="00992CBC"/>
    <w:rsid w:val="00993759"/>
    <w:rsid w:val="009A0644"/>
    <w:rsid w:val="009B37C3"/>
    <w:rsid w:val="009D7BAA"/>
    <w:rsid w:val="00A0428D"/>
    <w:rsid w:val="00A05DA5"/>
    <w:rsid w:val="00A06E95"/>
    <w:rsid w:val="00A260B2"/>
    <w:rsid w:val="00A32755"/>
    <w:rsid w:val="00A43D2E"/>
    <w:rsid w:val="00A57CAA"/>
    <w:rsid w:val="00A610B7"/>
    <w:rsid w:val="00A61813"/>
    <w:rsid w:val="00A644C3"/>
    <w:rsid w:val="00AA1D1D"/>
    <w:rsid w:val="00AB567C"/>
    <w:rsid w:val="00AD30F9"/>
    <w:rsid w:val="00AD5CAE"/>
    <w:rsid w:val="00AE42B6"/>
    <w:rsid w:val="00B02459"/>
    <w:rsid w:val="00B17449"/>
    <w:rsid w:val="00B17DDF"/>
    <w:rsid w:val="00B20F60"/>
    <w:rsid w:val="00B2150C"/>
    <w:rsid w:val="00B23D0C"/>
    <w:rsid w:val="00B3177C"/>
    <w:rsid w:val="00B358D9"/>
    <w:rsid w:val="00B418EA"/>
    <w:rsid w:val="00B4663E"/>
    <w:rsid w:val="00B54E1A"/>
    <w:rsid w:val="00B6530C"/>
    <w:rsid w:val="00B71302"/>
    <w:rsid w:val="00B86B1D"/>
    <w:rsid w:val="00BA7AA4"/>
    <w:rsid w:val="00BB143A"/>
    <w:rsid w:val="00BC0EB6"/>
    <w:rsid w:val="00BC1BF2"/>
    <w:rsid w:val="00BC2799"/>
    <w:rsid w:val="00BC4893"/>
    <w:rsid w:val="00BD6C42"/>
    <w:rsid w:val="00BF54F8"/>
    <w:rsid w:val="00C056DD"/>
    <w:rsid w:val="00C10B21"/>
    <w:rsid w:val="00C355C3"/>
    <w:rsid w:val="00C41635"/>
    <w:rsid w:val="00C56D1B"/>
    <w:rsid w:val="00C81DD2"/>
    <w:rsid w:val="00C93828"/>
    <w:rsid w:val="00CC2D21"/>
    <w:rsid w:val="00CD1E69"/>
    <w:rsid w:val="00CD4890"/>
    <w:rsid w:val="00CD714F"/>
    <w:rsid w:val="00CE616C"/>
    <w:rsid w:val="00CF2B8F"/>
    <w:rsid w:val="00D01D37"/>
    <w:rsid w:val="00D36FE3"/>
    <w:rsid w:val="00D370B0"/>
    <w:rsid w:val="00D6475E"/>
    <w:rsid w:val="00D80263"/>
    <w:rsid w:val="00D83E90"/>
    <w:rsid w:val="00D91AA8"/>
    <w:rsid w:val="00DA543C"/>
    <w:rsid w:val="00DB7B1D"/>
    <w:rsid w:val="00DC25D1"/>
    <w:rsid w:val="00DD0B09"/>
    <w:rsid w:val="00DD4879"/>
    <w:rsid w:val="00DF3C5C"/>
    <w:rsid w:val="00E04867"/>
    <w:rsid w:val="00E05C6B"/>
    <w:rsid w:val="00E15740"/>
    <w:rsid w:val="00E25232"/>
    <w:rsid w:val="00E53D5E"/>
    <w:rsid w:val="00E54AB4"/>
    <w:rsid w:val="00E62CCA"/>
    <w:rsid w:val="00E7110A"/>
    <w:rsid w:val="00E8195E"/>
    <w:rsid w:val="00E821CE"/>
    <w:rsid w:val="00E87799"/>
    <w:rsid w:val="00E92EC3"/>
    <w:rsid w:val="00EA4CE7"/>
    <w:rsid w:val="00EA6DCD"/>
    <w:rsid w:val="00EB1FE2"/>
    <w:rsid w:val="00EB4243"/>
    <w:rsid w:val="00EC6CD7"/>
    <w:rsid w:val="00ED5CA6"/>
    <w:rsid w:val="00EE1DE3"/>
    <w:rsid w:val="00EE266F"/>
    <w:rsid w:val="00EE4668"/>
    <w:rsid w:val="00EF19F4"/>
    <w:rsid w:val="00F06450"/>
    <w:rsid w:val="00F102B0"/>
    <w:rsid w:val="00F31612"/>
    <w:rsid w:val="00F43B67"/>
    <w:rsid w:val="00F7207D"/>
    <w:rsid w:val="00F9240D"/>
    <w:rsid w:val="00F967DB"/>
    <w:rsid w:val="00FA4727"/>
    <w:rsid w:val="00FB4A4C"/>
    <w:rsid w:val="00FC6DBC"/>
    <w:rsid w:val="00FD32D3"/>
    <w:rsid w:val="00FF1614"/>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28"/>
    <w:pPr>
      <w:ind w:left="720"/>
      <w:contextualSpacing/>
    </w:pPr>
  </w:style>
  <w:style w:type="paragraph" w:styleId="Header">
    <w:name w:val="header"/>
    <w:basedOn w:val="Normal"/>
    <w:link w:val="HeaderChar"/>
    <w:uiPriority w:val="99"/>
    <w:unhideWhenUsed/>
    <w:rsid w:val="00BA7AA4"/>
    <w:pPr>
      <w:tabs>
        <w:tab w:val="center" w:pos="4513"/>
        <w:tab w:val="right" w:pos="9026"/>
      </w:tabs>
    </w:pPr>
  </w:style>
  <w:style w:type="character" w:customStyle="1" w:styleId="HeaderChar">
    <w:name w:val="Header Char"/>
    <w:basedOn w:val="DefaultParagraphFont"/>
    <w:link w:val="Header"/>
    <w:uiPriority w:val="99"/>
    <w:rsid w:val="00BA7AA4"/>
  </w:style>
  <w:style w:type="paragraph" w:styleId="Footer">
    <w:name w:val="footer"/>
    <w:basedOn w:val="Normal"/>
    <w:link w:val="FooterChar"/>
    <w:uiPriority w:val="99"/>
    <w:unhideWhenUsed/>
    <w:rsid w:val="00BA7AA4"/>
    <w:pPr>
      <w:tabs>
        <w:tab w:val="center" w:pos="4513"/>
        <w:tab w:val="right" w:pos="9026"/>
      </w:tabs>
    </w:pPr>
  </w:style>
  <w:style w:type="character" w:customStyle="1" w:styleId="FooterChar">
    <w:name w:val="Footer Char"/>
    <w:basedOn w:val="DefaultParagraphFont"/>
    <w:link w:val="Footer"/>
    <w:uiPriority w:val="99"/>
    <w:rsid w:val="00BA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28"/>
    <w:pPr>
      <w:ind w:left="720"/>
      <w:contextualSpacing/>
    </w:pPr>
  </w:style>
  <w:style w:type="paragraph" w:styleId="Header">
    <w:name w:val="header"/>
    <w:basedOn w:val="Normal"/>
    <w:link w:val="HeaderChar"/>
    <w:uiPriority w:val="99"/>
    <w:unhideWhenUsed/>
    <w:rsid w:val="00BA7AA4"/>
    <w:pPr>
      <w:tabs>
        <w:tab w:val="center" w:pos="4513"/>
        <w:tab w:val="right" w:pos="9026"/>
      </w:tabs>
    </w:pPr>
  </w:style>
  <w:style w:type="character" w:customStyle="1" w:styleId="HeaderChar">
    <w:name w:val="Header Char"/>
    <w:basedOn w:val="DefaultParagraphFont"/>
    <w:link w:val="Header"/>
    <w:uiPriority w:val="99"/>
    <w:rsid w:val="00BA7AA4"/>
  </w:style>
  <w:style w:type="paragraph" w:styleId="Footer">
    <w:name w:val="footer"/>
    <w:basedOn w:val="Normal"/>
    <w:link w:val="FooterChar"/>
    <w:uiPriority w:val="99"/>
    <w:unhideWhenUsed/>
    <w:rsid w:val="00BA7AA4"/>
    <w:pPr>
      <w:tabs>
        <w:tab w:val="center" w:pos="4513"/>
        <w:tab w:val="right" w:pos="9026"/>
      </w:tabs>
    </w:pPr>
  </w:style>
  <w:style w:type="character" w:customStyle="1" w:styleId="FooterChar">
    <w:name w:val="Footer Char"/>
    <w:basedOn w:val="DefaultParagraphFont"/>
    <w:link w:val="Footer"/>
    <w:uiPriority w:val="99"/>
    <w:rsid w:val="00BA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8021-9CC3-4790-A207-A4B19D8C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Kelly</dc:creator>
  <cp:lastModifiedBy>Gillian Kelly</cp:lastModifiedBy>
  <cp:revision>5</cp:revision>
  <cp:lastPrinted>2016-02-26T15:29:00Z</cp:lastPrinted>
  <dcterms:created xsi:type="dcterms:W3CDTF">2016-08-05T13:38:00Z</dcterms:created>
  <dcterms:modified xsi:type="dcterms:W3CDTF">2016-08-05T13:59:00Z</dcterms:modified>
</cp:coreProperties>
</file>